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6"/>
        <w:jc w:val="center"/>
        <w:spacing w:line="360" w:lineRule="auto"/>
        <w:rPr>
          <w:rFonts w:ascii="宋体" w:hAnsi="宋体" w:cs="宋体"/>
          <w:b/>
          <w:color w:val="auto"/>
          <w:sz w:val="72"/>
          <w:highlight w:val="none"/>
        </w:rPr>
      </w:pPr>
      <w:r>
        <w:rPr>
          <w:rFonts w:ascii="宋体" w:hAnsi="宋体" w:cs="宋体"/>
          <w:b/>
          <w:color w:val="auto"/>
          <w:sz w:val="72"/>
          <w:highlight w:val="none"/>
        </w:rPr>
      </w:r>
      <w:r/>
    </w:p>
    <w:p>
      <w:pPr>
        <w:ind w:firstLine="1446"/>
        <w:jc w:val="center"/>
        <w:spacing w:line="360" w:lineRule="auto"/>
        <w:rPr>
          <w:rFonts w:ascii="宋体" w:hAnsi="宋体" w:cs="宋体"/>
          <w:b/>
          <w:color w:val="auto"/>
          <w:sz w:val="72"/>
          <w:highlight w:val="none"/>
        </w:rPr>
      </w:pPr>
      <w:r>
        <w:rPr>
          <w:rFonts w:hint="eastAsia" w:ascii="宋体" w:hAnsi="宋体" w:cs="宋体"/>
          <w:b/>
          <w:color w:val="auto"/>
          <w:sz w:val="72"/>
          <w:highlight w:val="none"/>
        </w:rPr>
        <w:t xml:space="preserve">苏州市</w:t>
      </w:r>
      <w:r>
        <w:rPr>
          <w:rFonts w:hint="eastAsia" w:ascii="宋体" w:hAnsi="宋体" w:cs="宋体"/>
          <w:b/>
          <w:color w:val="auto"/>
          <w:sz w:val="72"/>
          <w:highlight w:val="none"/>
          <w:lang w:val="en-US" w:eastAsia="zh-CN"/>
        </w:rPr>
        <w:t xml:space="preserve">吴中区</w:t>
      </w:r>
      <w:r>
        <w:rPr>
          <w:rFonts w:hint="eastAsia" w:ascii="宋体" w:hAnsi="宋体" w:cs="宋体"/>
          <w:b/>
          <w:color w:val="auto"/>
          <w:sz w:val="72"/>
          <w:highlight w:val="none"/>
        </w:rPr>
        <w:t xml:space="preserve">政府采购</w:t>
      </w:r>
      <w:r/>
    </w:p>
    <w:p>
      <w:pPr>
        <w:ind w:firstLine="1446"/>
        <w:jc w:val="center"/>
        <w:spacing w:line="360" w:lineRule="auto"/>
        <w:rPr>
          <w:rFonts w:ascii="宋体" w:hAnsi="宋体" w:cs="宋体"/>
          <w:b/>
          <w:color w:val="auto"/>
          <w:sz w:val="72"/>
          <w:highlight w:val="none"/>
        </w:rPr>
      </w:pPr>
      <w:r>
        <w:rPr>
          <w:rFonts w:hint="eastAsia" w:ascii="宋体" w:hAnsi="宋体" w:cs="宋体"/>
          <w:b/>
          <w:color w:val="auto"/>
          <w:sz w:val="72"/>
          <w:highlight w:val="none"/>
        </w:rPr>
        <w:t xml:space="preserve">服务类磋商项目</w:t>
      </w:r>
      <w:r/>
    </w:p>
    <w:p>
      <w:pPr>
        <w:ind w:firstLine="1446"/>
        <w:jc w:val="center"/>
        <w:spacing w:line="360" w:lineRule="auto"/>
        <w:rPr>
          <w:rFonts w:ascii="宋体" w:hAnsi="宋体" w:cs="宋体"/>
          <w:b/>
          <w:color w:val="auto"/>
          <w:sz w:val="72"/>
          <w:highlight w:val="none"/>
        </w:rPr>
      </w:pPr>
      <w:r>
        <w:rPr>
          <w:rFonts w:hint="eastAsia" w:ascii="宋体" w:hAnsi="宋体" w:cs="宋体"/>
          <w:b/>
          <w:color w:val="auto"/>
          <w:sz w:val="72"/>
          <w:highlight w:val="none"/>
        </w:rPr>
        <w:t xml:space="preserve">采购文件</w:t>
      </w:r>
      <w:r/>
    </w:p>
    <w:p>
      <w:pPr>
        <w:ind w:left="2446" w:hanging="1606"/>
        <w:spacing w:line="360" w:lineRule="auto"/>
        <w:tabs>
          <w:tab w:val="left" w:pos="0" w:leader="none"/>
        </w:tabs>
        <w:rPr>
          <w:rFonts w:ascii="宋体" w:hAnsi="宋体" w:cs="宋体"/>
          <w:b/>
          <w:color w:val="auto"/>
          <w:sz w:val="32"/>
          <w:highlight w:val="none"/>
        </w:rPr>
      </w:pPr>
      <w:r>
        <w:rPr>
          <w:rFonts w:ascii="宋体" w:hAnsi="宋体" w:cs="宋体"/>
          <w:b/>
          <w:color w:val="auto"/>
          <w:sz w:val="32"/>
          <w:highlight w:val="none"/>
        </w:rPr>
      </w:r>
      <w:r/>
    </w:p>
    <w:p>
      <w:pPr>
        <w:ind w:left="2446" w:hanging="1606"/>
        <w:spacing w:line="360" w:lineRule="auto"/>
        <w:tabs>
          <w:tab w:val="left" w:pos="0" w:leader="none"/>
        </w:tabs>
        <w:rPr>
          <w:rFonts w:ascii="宋体" w:hAnsi="宋体" w:cs="宋体"/>
          <w:b/>
          <w:color w:val="auto"/>
          <w:sz w:val="32"/>
          <w:highlight w:val="none"/>
        </w:rPr>
      </w:pPr>
      <w:r>
        <w:rPr>
          <w:rFonts w:ascii="宋体" w:hAnsi="宋体" w:cs="宋体"/>
          <w:b/>
          <w:color w:val="auto"/>
          <w:sz w:val="32"/>
          <w:highlight w:val="none"/>
        </w:rPr>
      </w:r>
      <w:r/>
    </w:p>
    <w:p>
      <w:pPr>
        <w:ind w:left="2866" w:hanging="1606"/>
        <w:spacing w:line="360" w:lineRule="auto"/>
        <w:tabs>
          <w:tab w:val="left" w:pos="0" w:leader="none"/>
        </w:tabs>
        <w:rPr>
          <w:rFonts w:ascii="宋体" w:hAnsi="宋体" w:cs="宋体"/>
          <w:b/>
          <w:color w:val="auto"/>
          <w:sz w:val="32"/>
          <w:highlight w:val="none"/>
        </w:rPr>
      </w:pPr>
      <w:r>
        <w:rPr>
          <w:rFonts w:hint="eastAsia" w:ascii="宋体" w:hAnsi="宋体" w:cs="宋体"/>
          <w:b/>
          <w:color w:val="auto"/>
          <w:sz w:val="32"/>
          <w:highlight w:val="none"/>
        </w:rPr>
        <w:t xml:space="preserve">采购编号：</w:t>
      </w:r>
      <w:r>
        <w:rPr>
          <w:rFonts w:hint="eastAsia" w:ascii="宋体" w:hAnsi="宋体" w:cs="宋体"/>
          <w:b/>
          <w:color w:val="auto"/>
          <w:sz w:val="32"/>
          <w:highlight w:val="none"/>
          <w:lang w:eastAsia="zh-CN"/>
        </w:rPr>
        <w:t xml:space="preserve">JSZC-320506-CJZB-C2026-0003</w:t>
      </w:r>
      <w:r>
        <w:rPr>
          <w:rFonts w:hint="eastAsia" w:ascii="宋体" w:hAnsi="宋体" w:cs="宋体"/>
          <w:b/>
          <w:color w:val="auto"/>
          <w:sz w:val="32"/>
          <w:highlight w:val="none"/>
        </w:rPr>
        <w:t xml:space="preserve">号</w:t>
      </w:r>
      <w:r/>
    </w:p>
    <w:p>
      <w:pPr>
        <w:ind w:left="2866" w:hanging="1606"/>
        <w:jc w:val="left"/>
        <w:spacing w:line="360" w:lineRule="auto"/>
        <w:tabs>
          <w:tab w:val="left" w:pos="1701" w:leader="none"/>
        </w:tabs>
        <w:rPr>
          <w:rFonts w:hint="eastAsia" w:ascii="宋体" w:hAnsi="宋体" w:eastAsia="宋体" w:cs="宋体"/>
          <w:b/>
          <w:color w:val="auto"/>
          <w:sz w:val="32"/>
          <w:highlight w:val="none"/>
          <w:lang w:eastAsia="zh-CN"/>
        </w:rPr>
      </w:pPr>
      <w:r>
        <w:rPr>
          <w:rFonts w:hint="eastAsia" w:ascii="宋体" w:hAnsi="宋体" w:cs="宋体"/>
          <w:b/>
          <w:color w:val="auto"/>
          <w:sz w:val="32"/>
          <w:highlight w:val="none"/>
        </w:rPr>
        <w:t xml:space="preserve">采购内容：</w:t>
      </w:r>
      <w:r>
        <w:rPr>
          <w:rFonts w:hint="eastAsia" w:ascii="宋体" w:hAnsi="宋体" w:cs="宋体"/>
          <w:b/>
          <w:color w:val="auto"/>
          <w:sz w:val="32"/>
          <w:highlight w:val="none"/>
          <w:lang w:eastAsia="zh-CN"/>
        </w:rPr>
        <w:t xml:space="preserve">法院法律文书电子签章文印设备全包维保服务</w:t>
      </w:r>
      <w:r/>
    </w:p>
    <w:p>
      <w:pPr>
        <w:ind w:left="2866" w:hanging="1606"/>
        <w:jc w:val="left"/>
        <w:spacing w:line="360" w:lineRule="auto"/>
        <w:tabs>
          <w:tab w:val="left" w:pos="1701" w:leader="none"/>
        </w:tabs>
        <w:rPr>
          <w:rFonts w:hint="eastAsia" w:ascii="宋体" w:hAnsi="宋体" w:eastAsia="宋体" w:cs="宋体"/>
          <w:b/>
          <w:color w:val="auto"/>
          <w:sz w:val="32"/>
          <w:highlight w:val="none"/>
          <w:lang w:eastAsia="zh-CN"/>
        </w:rPr>
      </w:pPr>
      <w:r>
        <w:rPr>
          <w:rFonts w:hint="eastAsia" w:ascii="宋体" w:hAnsi="宋体" w:cs="宋体"/>
          <w:b/>
          <w:color w:val="auto"/>
          <w:sz w:val="32"/>
          <w:highlight w:val="none"/>
        </w:rPr>
        <w:t xml:space="preserve">采购单位：</w:t>
      </w:r>
      <w:r>
        <w:rPr>
          <w:rFonts w:hint="eastAsia" w:ascii="宋体" w:hAnsi="宋体" w:cs="宋体"/>
          <w:b/>
          <w:color w:val="auto"/>
          <w:sz w:val="32"/>
          <w:highlight w:val="none"/>
          <w:lang w:eastAsia="zh-CN"/>
        </w:rPr>
        <w:t xml:space="preserve">苏州市吴中区人民法院</w:t>
      </w:r>
      <w:r/>
    </w:p>
    <w:p>
      <w:pPr>
        <w:ind w:left="2866" w:hanging="1606"/>
        <w:jc w:val="left"/>
        <w:spacing w:line="360" w:lineRule="auto"/>
        <w:tabs>
          <w:tab w:val="left" w:pos="1701" w:leader="none"/>
        </w:tabs>
        <w:rPr>
          <w:rFonts w:ascii="宋体" w:hAnsi="宋体" w:cs="宋体"/>
          <w:b/>
          <w:color w:val="auto"/>
          <w:sz w:val="32"/>
          <w:highlight w:val="none"/>
        </w:rPr>
      </w:pPr>
      <w:r>
        <w:rPr>
          <w:rFonts w:hint="eastAsia" w:ascii="宋体" w:hAnsi="宋体" w:cs="宋体"/>
          <w:b/>
          <w:color w:val="auto"/>
          <w:sz w:val="32"/>
          <w:highlight w:val="none"/>
        </w:rPr>
        <w:t xml:space="preserve">采购代理：苏州市创杰招投标咨询服务有限公司</w:t>
      </w:r>
      <w:r/>
    </w:p>
    <w:p>
      <w:pPr>
        <w:ind w:left="2866" w:hanging="1606"/>
        <w:jc w:val="left"/>
        <w:spacing w:line="360" w:lineRule="auto"/>
        <w:tabs>
          <w:tab w:val="left" w:pos="1701" w:leader="none"/>
        </w:tabs>
        <w:rPr>
          <w:rFonts w:ascii="宋体" w:hAnsi="宋体" w:cs="宋体"/>
          <w:b/>
          <w:color w:val="auto"/>
          <w:sz w:val="32"/>
          <w:highlight w:val="none"/>
        </w:rPr>
      </w:pPr>
      <w:r>
        <w:rPr>
          <w:rFonts w:hint="eastAsia" w:ascii="宋体" w:hAnsi="宋体" w:cs="宋体"/>
          <w:b/>
          <w:color w:val="auto"/>
          <w:sz w:val="32"/>
          <w:highlight w:val="none"/>
        </w:rPr>
        <w:t xml:space="preserve">采购类别：服务类</w:t>
      </w:r>
      <w:r/>
    </w:p>
    <w:p>
      <w:pPr>
        <w:jc w:val="cente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color w:val="auto"/>
          <w:sz w:val="32"/>
          <w:highlight w:val="none"/>
        </w:rPr>
      </w:pPr>
      <w:r>
        <w:rPr>
          <w:rFonts w:ascii="宋体" w:hAnsi="宋体" w:cs="宋体"/>
          <w:color w:val="auto"/>
          <w:highlight w:val="none"/>
        </w:rPr>
        <mc:AlternateContent>
          <mc:Choice Requires="wpg">
            <w:drawing>
              <wp:inline xmlns:wp="http://schemas.openxmlformats.org/drawingml/2006/wordprocessingDrawing" distT="0" distB="0" distL="0" distR="0">
                <wp:extent cx="1235710" cy="904240"/>
                <wp:effectExtent l="0" t="0" r="2540" b="1016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1235710" cy="904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7.3pt;height:71.2pt;mso-wrap-distance-left:0.0pt;mso-wrap-distance-top:0.0pt;mso-wrap-distance-right:0.0pt;mso-wrap-distance-bottom:0.0pt;" stroked="f">
                <v:path textboxrect="0,0,0,0"/>
                <v:imagedata r:id="rId14" o:title=""/>
              </v:shape>
            </w:pict>
          </mc:Fallback>
        </mc:AlternateContent>
      </w:r>
      <w:r/>
    </w:p>
    <w:p>
      <w:pPr>
        <w:ind w:firstLine="602"/>
        <w:jc w:val="center"/>
        <w:spacing w:line="360" w:lineRule="auto"/>
        <w:rPr>
          <w:rFonts w:ascii="宋体" w:hAnsi="宋体" w:cs="宋体"/>
          <w:b/>
          <w:color w:val="auto"/>
          <w:sz w:val="30"/>
          <w:szCs w:val="30"/>
          <w:highlight w:val="none"/>
        </w:rPr>
        <w:sectPr>
          <w:headerReference w:type="default" r:id="rId9"/>
          <w:headerReference w:type="first" r:id="rId10"/>
          <w:footerReference w:type="default" r:id="rId11"/>
          <w:footerReference w:type="even" r:id="rId12"/>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b/>
          <w:color w:val="auto"/>
          <w:sz w:val="30"/>
          <w:szCs w:val="30"/>
          <w:highlight w:val="none"/>
        </w:rPr>
        <w:t xml:space="preserve">二〇二</w:t>
      </w:r>
      <w:r>
        <w:rPr>
          <w:rFonts w:hint="eastAsia" w:ascii="宋体" w:hAnsi="宋体" w:cs="宋体"/>
          <w:b/>
          <w:color w:val="auto"/>
          <w:sz w:val="30"/>
          <w:szCs w:val="30"/>
          <w:highlight w:val="none"/>
          <w:lang w:val="en-US" w:eastAsia="zh-CN"/>
        </w:rPr>
        <w:t xml:space="preserve">六</w:t>
      </w:r>
      <w:r>
        <w:rPr>
          <w:rFonts w:hint="eastAsia" w:ascii="宋体" w:hAnsi="宋体" w:cs="宋体"/>
          <w:b/>
          <w:color w:val="auto"/>
          <w:sz w:val="30"/>
          <w:szCs w:val="30"/>
          <w:highlight w:val="none"/>
        </w:rPr>
        <w:t xml:space="preserve">年</w:t>
      </w:r>
      <w:r>
        <w:rPr>
          <w:rFonts w:hint="eastAsia" w:ascii="宋体" w:hAnsi="宋体" w:cs="宋体"/>
          <w:b/>
          <w:color w:val="auto"/>
          <w:sz w:val="30"/>
          <w:szCs w:val="30"/>
          <w:highlight w:val="none"/>
          <w:lang w:val="en-US" w:eastAsia="zh-CN"/>
        </w:rPr>
        <w:t xml:space="preserve">一</w:t>
      </w:r>
      <w:r>
        <w:rPr>
          <w:rFonts w:hint="eastAsia" w:ascii="宋体" w:hAnsi="宋体" w:cs="宋体"/>
          <w:b/>
          <w:color w:val="auto"/>
          <w:sz w:val="30"/>
          <w:szCs w:val="30"/>
          <w:highlight w:val="none"/>
        </w:rPr>
        <w:t xml:space="preserve">月</w:t>
      </w:r>
      <w:r/>
    </w:p>
    <w:p>
      <w:pPr>
        <w:ind w:firstLine="723"/>
        <w:jc w:val="center"/>
        <w:spacing w:line="360" w:lineRule="auto"/>
        <w:rPr>
          <w:rFonts w:ascii="宋体" w:hAnsi="宋体" w:cs="宋体"/>
          <w:b/>
          <w:color w:val="auto"/>
          <w:sz w:val="36"/>
          <w:highlight w:val="none"/>
        </w:rPr>
      </w:pPr>
      <w:r>
        <w:rPr>
          <w:rFonts w:hint="eastAsia" w:ascii="宋体" w:hAnsi="宋体" w:cs="宋体"/>
          <w:b/>
          <w:color w:val="auto"/>
          <w:sz w:val="36"/>
          <w:highlight w:val="none"/>
        </w:rPr>
        <w:t xml:space="preserve">前附表</w:t>
      </w:r>
      <w:r/>
    </w:p>
    <w:tbl>
      <w:tblPr>
        <w:tblStyle w:val="720"/>
        <w:tblW w:w="5000" w:type="pct"/>
        <w:jc w:val="center"/>
        <w:tblLayout w:type="fixed"/>
        <w:tblCellMar>
          <w:left w:w="0" w:type="dxa"/>
          <w:top w:w="0" w:type="dxa"/>
          <w:right w:w="0" w:type="dxa"/>
          <w:bottom w:w="0" w:type="dxa"/>
        </w:tblCellMar>
        <w:tblLook w:val="04A0" w:firstRow="1" w:lastRow="0" w:firstColumn="1" w:lastColumn="0" w:noHBand="0" w:noVBand="1"/>
      </w:tblPr>
      <w:tblGrid>
        <w:gridCol w:w="759"/>
        <w:gridCol w:w="1605"/>
        <w:gridCol w:w="6924"/>
      </w:tblGrid>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内               容</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jc w:val="left"/>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JSZC-320506-CJZB-C2026-0003</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法院法律文书电子签章文印设备全包维保服务</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tabs>
                <w:tab w:val="left" w:pos="252" w:leader="none"/>
              </w:tabs>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采购代理机构</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名    称：苏州市创杰招投标咨询服务有限公司</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址：苏州市干将西路399号银海大厦303室</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 系 人：路丽丽  朱晓芹  庄天扬  潘莉莉  </w:t>
            </w:r>
            <w:r/>
          </w:p>
          <w:p>
            <w:pPr>
              <w:jc w:val="left"/>
              <w:spacing w:line="360" w:lineRule="auto"/>
              <w:rPr>
                <w:rFonts w:ascii="宋体" w:hAnsi="宋体" w:cs="宋体"/>
                <w:color w:val="auto"/>
                <w:highlight w:val="none"/>
              </w:rPr>
            </w:pPr>
            <w:r>
              <w:rPr>
                <w:rFonts w:hint="eastAsia" w:ascii="宋体" w:hAnsi="宋体" w:cs="宋体"/>
                <w:color w:val="auto"/>
                <w:szCs w:val="21"/>
                <w:highlight w:val="none"/>
              </w:rPr>
              <w:t xml:space="preserve">联系电话：0512-65238816</w:t>
            </w:r>
            <w:r/>
          </w:p>
        </w:tc>
      </w:tr>
      <w:tr>
        <w:trPr>
          <w:jc w:val="center"/>
          <w:trHeight w:val="51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jc w:val="left"/>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苏州市吴中区人民法院</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联系地址：苏州市吴中区石湖东路102号</w:t>
            </w:r>
            <w:r/>
          </w:p>
          <w:p>
            <w:pPr>
              <w:jc w:val="left"/>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陈栩</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联系电话：0512-65687515</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详见采购文件第二章</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本项目不收取磋商保证金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响应文件</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响应文件提交截止之日起45天（日历日）</w:t>
            </w:r>
            <w:r/>
          </w:p>
        </w:tc>
      </w:tr>
      <w:tr>
        <w:trPr>
          <w:jc w:val="center"/>
          <w:trHeight w:val="82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获取采购文件</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自公告发布之日起5个工作日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响应文件网上</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20</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rPr>
              <w:t xml:space="preserve">点30分（北京时间）</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响应文件必须在截止时间前完成提交（上传），逾期提交（上传）的响应文件恕不接受。</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开启时间</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20</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rPr>
              <w:t xml:space="preserve">点30分（北京时间）</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s="宋体"/>
                <w:color w:val="auto"/>
                <w:szCs w:val="21"/>
                <w:highlight w:val="none"/>
              </w:rPr>
              <w:t xml:space="preserve">http://jszfcg.jsczt.cn/</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w:t>
            </w:r>
            <w:r/>
          </w:p>
          <w:p>
            <w:pPr>
              <w:ind w:firstLine="422"/>
              <w:jc w:val="left"/>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本项目为不见面磋商项目，开启阶段供应商在【供应商解密】环节必须使用 CA证书解密电子响应文件，如在系统规定的解密时间内未能完成解密的视为放弃参与本项目。</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评审时间</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20</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rPr>
              <w:t xml:space="preserve">点30分（北京时间）</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苏州市高新区邓尉路105号狮山科技馆 </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磋商响应</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本项目采用电子响应文件，供应商按照采购文件要求制作上传电子响应文件，投标时供应商无需提供纸质响应文件。</w:t>
            </w:r>
            <w:r/>
          </w:p>
          <w:p>
            <w:pPr>
              <w:spacing w:line="360" w:lineRule="auto"/>
              <w:rPr>
                <w:rFonts w:ascii="宋体" w:hAnsi="宋体" w:cs="宋体"/>
                <w:color w:val="auto"/>
                <w:highlight w:val="none"/>
              </w:rPr>
            </w:pPr>
            <w:r>
              <w:rPr>
                <w:rFonts w:hint="eastAsia" w:ascii="宋体" w:hAnsi="宋体" w:cs="宋体"/>
                <w:color w:val="auto"/>
                <w:highlight w:val="none"/>
              </w:rPr>
              <w:t xml:space="preserve">成交后5个工作日内，成交单位向招标代理机构提供与电子响应文件内容一致的纸质响应文件两份。</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人民币  </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olor w:val="auto"/>
                <w:szCs w:val="21"/>
                <w:highlight w:val="none"/>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ascii="宋体" w:hAnsi="宋体"/>
                <w:b/>
                <w:bCs/>
                <w:color w:val="auto"/>
                <w:szCs w:val="21"/>
                <w:highlight w:val="none"/>
              </w:rPr>
              <w:t xml:space="preserve">本项目采购人未要求收取履约保证金。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pStyle w:val="936"/>
              <w:ind w:firstLine="0"/>
              <w:rPr>
                <w:rFonts w:cs="宋体"/>
                <w:color w:val="auto"/>
                <w:sz w:val="21"/>
                <w:szCs w:val="21"/>
                <w:highlight w:val="none"/>
              </w:rPr>
            </w:pPr>
            <w:r>
              <w:rPr>
                <w:rFonts w:hint="eastAsia" w:cs="宋体"/>
                <w:color w:val="auto"/>
                <w:sz w:val="21"/>
                <w:szCs w:val="21"/>
                <w:highlight w:val="none"/>
              </w:rPr>
              <w:t xml:space="preserve">确定成交单位后，采购代理机构在法定时间内向成交单位发出成交通知书。成交通知书将成为合同的组成部分。</w:t>
            </w:r>
            <w:r/>
          </w:p>
          <w:p>
            <w:pPr>
              <w:pStyle w:val="936"/>
              <w:ind w:firstLine="0"/>
              <w:rPr>
                <w:rFonts w:cs="宋体"/>
                <w:color w:val="auto"/>
                <w:sz w:val="21"/>
                <w:szCs w:val="21"/>
                <w:highlight w:val="none"/>
              </w:rPr>
            </w:pPr>
            <w:r>
              <w:rPr>
                <w:rFonts w:hint="eastAsia" w:cs="宋体"/>
                <w:b/>
                <w:color w:val="auto"/>
                <w:sz w:val="21"/>
                <w:szCs w:val="21"/>
                <w:highlight w:val="none"/>
              </w:rPr>
              <w:t xml:space="preserve">请成交单位在成交结果公告届满之日起30日内,使用CA证书登录“苏采云”系统及时下载成交通知书。</w:t>
            </w:r>
            <w:r/>
          </w:p>
        </w:tc>
      </w:tr>
    </w:tbl>
    <w:p>
      <w:pPr>
        <w:ind w:firstLine="1044"/>
        <w:jc w:val="center"/>
        <w:pageBreakBefore/>
        <w:spacing w:line="360" w:lineRule="auto"/>
        <w:tabs>
          <w:tab w:val="left" w:pos="315" w:leader="none"/>
          <w:tab w:val="center" w:pos="4153" w:leader="none"/>
        </w:tabs>
        <w:rPr>
          <w:rFonts w:ascii="宋体" w:hAnsi="宋体" w:cs="宋体"/>
          <w:b/>
          <w:color w:val="auto"/>
          <w:sz w:val="52"/>
          <w:szCs w:val="52"/>
          <w:highlight w:val="none"/>
        </w:rPr>
      </w:pPr>
      <w:r>
        <w:rPr>
          <w:rFonts w:hint="eastAsia" w:ascii="宋体" w:hAnsi="宋体" w:cs="宋体"/>
          <w:b/>
          <w:color w:val="auto"/>
          <w:sz w:val="52"/>
          <w:szCs w:val="52"/>
          <w:highlight w:val="none"/>
        </w:rPr>
        <w:t xml:space="preserve">目    录</w:t>
      </w:r>
      <w:r/>
    </w:p>
    <w:p>
      <w:pPr>
        <w:ind w:firstLine="720"/>
        <w:spacing w:line="360" w:lineRule="auto"/>
        <w:tabs>
          <w:tab w:val="left" w:pos="315" w:leader="none"/>
          <w:tab w:val="center" w:pos="4153" w:leader="none"/>
        </w:tabs>
        <w:rPr>
          <w:rFonts w:ascii="宋体" w:hAnsi="宋体" w:cs="宋体"/>
          <w:color w:val="auto"/>
          <w:sz w:val="36"/>
          <w:szCs w:val="36"/>
          <w:highlight w:val="none"/>
        </w:rPr>
      </w:pPr>
      <w:r>
        <w:rPr>
          <w:rFonts w:ascii="宋体" w:hAnsi="宋体" w:cs="宋体"/>
          <w:color w:val="auto"/>
          <w:sz w:val="36"/>
          <w:szCs w:val="36"/>
          <w:highlight w:val="none"/>
        </w:rPr>
      </w:r>
      <w:r/>
    </w:p>
    <w:p>
      <w:pPr>
        <w:ind w:firstLine="720"/>
        <w:spacing w:line="360" w:lineRule="auto"/>
        <w:tabs>
          <w:tab w:val="left" w:pos="315" w:leader="none"/>
          <w:tab w:val="center" w:pos="4153" w:leader="none"/>
        </w:tabs>
        <w:rPr>
          <w:rFonts w:ascii="宋体" w:hAnsi="宋体" w:cs="宋体"/>
          <w:color w:val="auto"/>
          <w:sz w:val="36"/>
          <w:szCs w:val="36"/>
          <w:highlight w:val="none"/>
        </w:rPr>
      </w:pPr>
      <w:r>
        <w:rPr>
          <w:rFonts w:hint="eastAsia" w:ascii="宋体" w:hAnsi="宋体" w:cs="宋体"/>
          <w:color w:val="auto"/>
          <w:sz w:val="36"/>
          <w:szCs w:val="36"/>
          <w:highlight w:val="none"/>
        </w:rPr>
        <w:t xml:space="preserve">一、磋商公告</w:t>
      </w:r>
      <w:r/>
    </w:p>
    <w:p>
      <w:pPr>
        <w:ind w:firstLine="720"/>
        <w:spacing w:line="360" w:lineRule="auto"/>
        <w:tabs>
          <w:tab w:val="left" w:pos="315" w:leader="none"/>
          <w:tab w:val="center" w:pos="4153" w:leader="none"/>
        </w:tabs>
        <w:rPr>
          <w:rFonts w:ascii="宋体" w:hAnsi="宋体" w:cs="宋体"/>
          <w:color w:val="auto"/>
          <w:sz w:val="36"/>
          <w:szCs w:val="36"/>
          <w:highlight w:val="none"/>
        </w:rPr>
      </w:pPr>
      <w:r>
        <w:rPr>
          <w:rFonts w:hint="eastAsia" w:ascii="宋体" w:hAnsi="宋体" w:cs="宋体"/>
          <w:color w:val="auto"/>
          <w:sz w:val="36"/>
          <w:szCs w:val="36"/>
          <w:highlight w:val="none"/>
        </w:rPr>
        <w:t xml:space="preserve">二、采购需求</w:t>
      </w:r>
      <w:r/>
    </w:p>
    <w:p>
      <w:pPr>
        <w:ind w:firstLine="720"/>
        <w:spacing w:line="360" w:lineRule="auto"/>
        <w:tabs>
          <w:tab w:val="left" w:pos="315" w:leader="none"/>
          <w:tab w:val="center" w:pos="4153" w:leader="none"/>
        </w:tabs>
        <w:rPr>
          <w:rFonts w:ascii="宋体" w:hAnsi="宋体" w:cs="宋体"/>
          <w:color w:val="auto"/>
          <w:sz w:val="36"/>
          <w:szCs w:val="36"/>
          <w:highlight w:val="none"/>
        </w:rPr>
      </w:pPr>
      <w:r>
        <w:rPr>
          <w:rFonts w:hint="eastAsia" w:ascii="宋体" w:hAnsi="宋体" w:cs="宋体"/>
          <w:color w:val="auto"/>
          <w:sz w:val="36"/>
          <w:szCs w:val="36"/>
          <w:highlight w:val="none"/>
        </w:rPr>
        <w:t xml:space="preserve">三、评标方法及评分标准</w:t>
      </w:r>
      <w:r/>
    </w:p>
    <w:p>
      <w:pPr>
        <w:ind w:firstLine="720"/>
        <w:spacing w:line="360" w:lineRule="auto"/>
        <w:tabs>
          <w:tab w:val="left" w:pos="315" w:leader="none"/>
          <w:tab w:val="center" w:pos="4153" w:leader="none"/>
        </w:tabs>
        <w:rPr>
          <w:rFonts w:ascii="宋体" w:hAnsi="宋体" w:cs="宋体"/>
          <w:color w:val="auto"/>
          <w:sz w:val="36"/>
          <w:szCs w:val="36"/>
          <w:highlight w:val="none"/>
        </w:rPr>
      </w:pPr>
      <w:r>
        <w:rPr>
          <w:rFonts w:hint="eastAsia" w:ascii="宋体" w:hAnsi="宋体" w:cs="宋体"/>
          <w:color w:val="auto"/>
          <w:sz w:val="36"/>
          <w:szCs w:val="36"/>
          <w:highlight w:val="none"/>
        </w:rPr>
        <w:t xml:space="preserve">四、合同主要条款及格式</w:t>
      </w:r>
      <w:r/>
    </w:p>
    <w:p>
      <w:pPr>
        <w:ind w:firstLine="720"/>
        <w:spacing w:line="360" w:lineRule="auto"/>
        <w:tabs>
          <w:tab w:val="left" w:pos="315" w:leader="none"/>
          <w:tab w:val="center" w:pos="4153" w:leader="none"/>
        </w:tabs>
        <w:rPr>
          <w:rFonts w:ascii="宋体" w:hAnsi="宋体" w:cs="宋体"/>
          <w:color w:val="auto"/>
          <w:sz w:val="36"/>
          <w:szCs w:val="36"/>
          <w:highlight w:val="none"/>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color w:val="auto"/>
          <w:sz w:val="36"/>
          <w:szCs w:val="36"/>
          <w:highlight w:val="none"/>
        </w:rPr>
        <w:t xml:space="preserve">五、磋商响应文件格式</w:t>
      </w:r>
      <w:r/>
    </w:p>
    <w:p>
      <w:pPr>
        <w:ind w:firstLine="643"/>
        <w:jc w:val="center"/>
        <w:spacing w:line="360" w:lineRule="auto"/>
        <w:tabs>
          <w:tab w:val="left" w:pos="315" w:leader="none"/>
          <w:tab w:val="center" w:pos="4153" w:leader="none"/>
        </w:tabs>
        <w:rPr>
          <w:rFonts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一、磋商公告</w:t>
      </w:r>
      <w:r/>
    </w:p>
    <w:p>
      <w:pPr>
        <w:ind w:firstLine="420"/>
        <w:spacing w:line="360" w:lineRule="auto"/>
        <w:rPr>
          <w:rFonts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rPr>
        <w:t xml:space="preserve">项目概况</w:t>
      </w:r>
      <w:r/>
    </w:p>
    <w:p>
      <w:pPr>
        <w:ind w:firstLine="420"/>
        <w:spacing w:line="360" w:lineRule="auto"/>
        <w:rPr>
          <w:rFonts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rPr>
        <w:t xml:space="preserve">法院法律文书电子签章文印设备全包维保服务</w:t>
      </w:r>
      <w:r>
        <w:rPr>
          <w:rFonts w:hint="eastAsia" w:ascii="宋体" w:hAnsi="宋体" w:cs="宋体"/>
          <w:color w:val="auto"/>
          <w:szCs w:val="21"/>
          <w:highlight w:val="none"/>
        </w:rPr>
        <w:t xml:space="preserve">采购项目的潜在供应商应在</w:t>
      </w:r>
      <w:r>
        <w:rPr>
          <w:rFonts w:hint="eastAsia" w:ascii="宋体" w:hAnsi="宋体" w:cs="宋体"/>
          <w:color w:val="auto"/>
          <w:szCs w:val="21"/>
          <w:highlight w:val="none"/>
          <w:u w:val="single"/>
        </w:rPr>
        <w:t xml:space="preserve">苏采云系统</w:t>
      </w:r>
      <w:r>
        <w:rPr>
          <w:rFonts w:hint="eastAsia" w:ascii="宋体" w:hAnsi="宋体" w:cs="宋体"/>
          <w:color w:val="auto"/>
          <w:szCs w:val="21"/>
          <w:highlight w:val="none"/>
        </w:rPr>
        <w:t xml:space="preserve">获取采购文件，并于</w:t>
      </w: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1</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20</w:t>
      </w:r>
      <w:r>
        <w:rPr>
          <w:rFonts w:hint="eastAsia" w:ascii="宋体" w:hAnsi="宋体" w:cs="宋体"/>
          <w:color w:val="auto"/>
          <w:szCs w:val="21"/>
          <w:highlight w:val="none"/>
          <w:u w:val="single"/>
        </w:rPr>
        <w:t xml:space="preserve">日</w:t>
      </w:r>
      <w:r>
        <w:rPr>
          <w:rFonts w:hint="eastAsia" w:ascii="宋体" w:hAnsi="宋体" w:cs="宋体"/>
          <w:color w:val="auto"/>
          <w:szCs w:val="21"/>
          <w:highlight w:val="none"/>
          <w:u w:val="single"/>
          <w:lang w:val="en-US" w:eastAsia="zh-CN"/>
        </w:rPr>
        <w:t xml:space="preserve">13</w:t>
      </w:r>
      <w:r>
        <w:rPr>
          <w:rFonts w:hint="eastAsia" w:ascii="宋体" w:hAnsi="宋体" w:cs="宋体"/>
          <w:color w:val="auto"/>
          <w:szCs w:val="21"/>
          <w:highlight w:val="none"/>
          <w:u w:val="single"/>
        </w:rPr>
        <w:t xml:space="preserve">点30分</w:t>
      </w:r>
      <w:r>
        <w:rPr>
          <w:rFonts w:hint="eastAsia" w:ascii="宋体" w:hAnsi="宋体" w:cs="宋体"/>
          <w:bCs/>
          <w:color w:val="auto"/>
          <w:szCs w:val="21"/>
          <w:highlight w:val="none"/>
        </w:rPr>
        <w:t xml:space="preserve">（北京时间）前提交响应文件</w:t>
      </w:r>
      <w:r>
        <w:rPr>
          <w:rFonts w:hint="eastAsia" w:ascii="宋体" w:hAnsi="宋体" w:cs="宋体"/>
          <w:color w:val="auto"/>
          <w:szCs w:val="21"/>
          <w:highlight w:val="none"/>
        </w:rPr>
        <w:t xml:space="preserve">。</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一、项目基本情况</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lang w:eastAsia="zh-CN"/>
        </w:rPr>
        <w:t xml:space="preserve">JSZC-320506-CJZB-C2026-0003</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lang w:eastAsia="zh-CN"/>
        </w:rPr>
        <w:t xml:space="preserve">法院法律文书电子签章文印设备全包维保服务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采购方式：竞争性磋商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预算金额：人民币</w:t>
      </w:r>
      <w:r>
        <w:rPr>
          <w:rFonts w:hint="eastAsia" w:ascii="宋体" w:hAnsi="宋体" w:cs="宋体"/>
          <w:color w:val="auto"/>
          <w:szCs w:val="21"/>
          <w:highlight w:val="none"/>
          <w:lang w:val="en-US" w:eastAsia="zh-CN"/>
        </w:rPr>
        <w:t xml:space="preserve">壹佰贰拾万</w:t>
      </w:r>
      <w:r>
        <w:rPr>
          <w:rFonts w:hint="eastAsia" w:ascii="宋体" w:hAnsi="宋体" w:cs="宋体"/>
          <w:color w:val="auto"/>
          <w:szCs w:val="21"/>
          <w:highlight w:val="none"/>
        </w:rPr>
        <w:t xml:space="preserve">元整（¥：</w:t>
      </w:r>
      <w:r>
        <w:rPr>
          <w:rFonts w:hint="eastAsia" w:ascii="宋体" w:hAnsi="宋体" w:cs="宋体"/>
          <w:color w:val="auto"/>
          <w:szCs w:val="21"/>
          <w:highlight w:val="none"/>
          <w:lang w:val="en-US" w:eastAsia="zh-CN"/>
        </w:rPr>
        <w:t xml:space="preserve">1200000</w:t>
      </w:r>
      <w:r>
        <w:rPr>
          <w:rFonts w:hint="eastAsia" w:ascii="宋体" w:hAnsi="宋体" w:cs="宋体"/>
          <w:color w:val="auto"/>
          <w:szCs w:val="21"/>
          <w:highlight w:val="none"/>
        </w:rPr>
        <w:t xml:space="preserve">.00</w:t>
      </w:r>
      <w:r>
        <w:rPr>
          <w:rFonts w:hint="eastAsia" w:ascii="宋体" w:hAnsi="宋体" w:cs="宋体"/>
          <w:color w:val="auto"/>
          <w:highlight w:val="none"/>
        </w:rPr>
        <w:t xml:space="preserve">）</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最高限价：</w:t>
      </w:r>
      <w:r>
        <w:rPr>
          <w:rFonts w:hint="eastAsia" w:ascii="宋体" w:hAnsi="宋体" w:cs="宋体"/>
          <w:color w:val="auto"/>
          <w:szCs w:val="21"/>
          <w:highlight w:val="none"/>
          <w:lang w:val="en-US" w:eastAsia="zh-CN"/>
        </w:rPr>
        <w:t xml:space="preserve">无</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采购需求：法院法律文书作为阐释法律、表述裁判结果，彰显司法正义的重要载体，具有规范程度强、印刷要求高、保存时间长、效率效益高等特点。随着案件的逐年增加，法律文书印刷日益加重，为保证法院正常文印需求，更好的提高审判效率，亟需启动采购法院法律文书电子签章文印设备全包维保服务</w:t>
      </w:r>
      <w:r>
        <w:rPr>
          <w:rFonts w:hint="eastAsia" w:ascii="宋体" w:hAnsi="宋体" w:cs="宋体"/>
          <w:color w:val="auto"/>
          <w:highlight w:val="none"/>
          <w:lang w:eastAsia="zh-CN"/>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合同履行期限：</w:t>
      </w:r>
      <w:r>
        <w:rPr>
          <w:rFonts w:hint="eastAsia" w:ascii="宋体" w:hAnsi="宋体" w:cs="仿宋_GB2312"/>
          <w:color w:val="auto"/>
          <w:sz w:val="21"/>
          <w:szCs w:val="21"/>
          <w:highlight w:val="none"/>
        </w:rPr>
        <w:t xml:space="preserve">合同签订之日起12个月</w:t>
      </w:r>
      <w:r>
        <w:rPr>
          <w:rFonts w:hint="eastAsia" w:ascii="宋体" w:hAnsi="宋体" w:cs="宋体"/>
          <w:color w:val="auto"/>
          <w:highlight w:val="none"/>
        </w:rPr>
        <w:t xml:space="preserve">。</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二、申请人的资格要求：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（1）具有独立承担民事责任的能力；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（5）参加政府采购活动前三年内，在经营活动中没有重大违法记录；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（6）法律、行政法规规定的其他条件。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w:t>
      </w:r>
      <w:r>
        <w:rPr>
          <w:rFonts w:hint="eastAsia" w:ascii="宋体" w:hAnsi="宋体" w:cs="宋体"/>
          <w:color w:val="auto"/>
          <w:szCs w:val="21"/>
          <w:highlight w:val="none"/>
          <w:shd w:val="clear" w:color="auto" w:fill="ffffff"/>
        </w:rPr>
        <w:t xml:space="preserve">根据《政府采购促进中小企业发展管理办法》的相关规定，</w:t>
      </w:r>
      <w:r>
        <w:rPr>
          <w:rFonts w:hint="eastAsia" w:ascii="宋体" w:hAnsi="宋体" w:cs="宋体"/>
          <w:b/>
          <w:bCs/>
          <w:color w:val="auto"/>
          <w:szCs w:val="21"/>
          <w:highlight w:val="none"/>
          <w:shd w:val="clear" w:color="auto" w:fill="ffffff"/>
        </w:rPr>
        <w:t xml:space="preserve">本项目专门面向中小企业采购，所属行业为</w:t>
      </w:r>
      <w:r>
        <w:rPr>
          <w:rFonts w:hint="eastAsia" w:ascii="宋体" w:hAnsi="宋体" w:cs="宋体"/>
          <w:b/>
          <w:bCs/>
          <w:color w:val="auto"/>
          <w:szCs w:val="21"/>
          <w:highlight w:val="none"/>
        </w:rPr>
        <w:t xml:space="preserve">其他未列明行业</w:t>
      </w:r>
      <w:r>
        <w:rPr>
          <w:rFonts w:hint="eastAsia" w:ascii="宋体" w:hAnsi="宋体" w:cs="宋体"/>
          <w:color w:val="auto"/>
          <w:szCs w:val="21"/>
          <w:highlight w:val="none"/>
          <w:shd w:val="clear" w:color="auto" w:fill="ffffff"/>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3、本项目的特定资格要求：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（1）未被列入失信被执行人、重大税收违法案件当事人名单、政府采购严重失信行为记录名单；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（2）本项目不接受联合体投标；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（4）为采购项目提供整体设计、规范编制或者项目管理、监理、监测等服务的供应商，不得再参加该采购项目的其他采购活动。</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（5）</w:t>
      </w:r>
      <w:r>
        <w:rPr>
          <w:rFonts w:hint="eastAsia" w:ascii="宋体" w:hAnsi="宋体" w:cs="宋体"/>
          <w:color w:val="auto"/>
          <w:szCs w:val="21"/>
          <w:highlight w:val="none"/>
        </w:rPr>
        <w:t xml:space="preserve">法人的分支机构不得参加投标(除银行、保险、石油石化、电力、电信等行业特殊情况外)</w:t>
      </w:r>
      <w:r>
        <w:rPr>
          <w:rFonts w:hint="eastAsia" w:ascii="宋体" w:hAnsi="宋体" w:cs="宋体"/>
          <w:color w:val="auto"/>
          <w:szCs w:val="21"/>
          <w:highlight w:val="none"/>
          <w:lang w:eastAsia="zh-CN"/>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6</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其他特定资</w:t>
      </w:r>
      <w:r>
        <w:rPr>
          <w:rFonts w:hint="eastAsia" w:ascii="宋体" w:hAnsi="宋体" w:cs="宋体"/>
          <w:color w:val="auto"/>
          <w:szCs w:val="21"/>
          <w:highlight w:val="none"/>
        </w:rPr>
        <w:t xml:space="preserve">格要求：无。</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三、获取采购文件</w:t>
      </w:r>
      <w:r/>
    </w:p>
    <w:p>
      <w:pPr>
        <w:ind w:firstLine="420"/>
        <w:spacing w:line="360" w:lineRule="auto"/>
        <w:rPr>
          <w:rFonts w:ascii="宋体" w:hAnsi="宋体" w:cs="宋体"/>
          <w:color w:val="auto"/>
          <w:szCs w:val="21"/>
          <w:highlight w:val="none"/>
          <w:shd w:val="clear" w:color="auto" w:fill="ffffff"/>
        </w:rPr>
      </w:pPr>
      <w:r/>
      <w:bookmarkStart w:id="0" w:name="_Toc35393793"/>
      <w:r/>
      <w:bookmarkStart w:id="1" w:name="_Toc28359082"/>
      <w:r/>
      <w:bookmarkStart w:id="2" w:name="_Toc28359005"/>
      <w:r/>
      <w:bookmarkStart w:id="3" w:name="_Toc35393624"/>
      <w:r>
        <w:rPr>
          <w:rFonts w:hint="eastAsia" w:ascii="宋体" w:hAnsi="宋体" w:cs="宋体"/>
          <w:color w:val="auto"/>
          <w:szCs w:val="21"/>
          <w:highlight w:val="none"/>
          <w:shd w:val="clear" w:color="auto" w:fill="ffffff"/>
        </w:rPr>
        <w:t xml:space="preserve">1.时间：自公告发布之日起5个工作日（具体见政府采购网本项目招标公告）</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2.地点：苏采云系统自行下载</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3.方式：</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（1）CA证书办理</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color w:val="auto"/>
          <w:szCs w:val="21"/>
          <w:highlight w:val="none"/>
          <w:shd w:val="clear" w:color="auto" w:fill="ffffff"/>
        </w:rPr>
        <w:t xml:space="preserve">“苏采云”系统目前仅支持“苏采云”系统下的政务CA证书，江苏省内各地区办理的“苏采云”系统下的政务CA证书全省通用。</w:t>
      </w:r>
      <w:r>
        <w:rPr>
          <w:rFonts w:hint="eastAsia" w:ascii="宋体" w:hAnsi="宋体" w:cs="宋体"/>
          <w:color w:val="auto"/>
          <w:szCs w:val="21"/>
          <w:highlight w:val="none"/>
          <w:shd w:val="clear" w:color="auto" w:fill="ffffff"/>
        </w:rPr>
        <w:t xml:space="preserve">苏州现场办理地址：苏州市高新区邓尉路105号狮山科技馆一楼服务大厅，咨询电话：0512-65737699。</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（2）参与采购活动</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（3）电子投标准备</w:t>
      </w:r>
      <w:r/>
    </w:p>
    <w:p>
      <w:pPr>
        <w:ind w:firstLine="420"/>
        <w:jc w:val="left"/>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color w:val="auto"/>
          <w:szCs w:val="21"/>
          <w:highlight w:val="none"/>
          <w:shd w:val="clear" w:color="auto" w:fill="ffffff"/>
        </w:rPr>
        <w:t xml:space="preserve">（具体详见《苏采云系统供应商操作手册》，网址链接https://czju.suzhou.gov.cn/zfcg/html/content/20231220161910031.shtml）</w:t>
      </w:r>
      <w:r>
        <w:rPr>
          <w:rFonts w:hint="eastAsia" w:ascii="宋体" w:hAnsi="宋体" w:cs="宋体"/>
          <w:color w:val="auto"/>
          <w:szCs w:val="21"/>
          <w:highlight w:val="none"/>
          <w:shd w:val="clear" w:color="auto" w:fill="ffffff"/>
        </w:rPr>
        <w:t xml:space="preserve">。在系统操作过程中如有疑问，请按以下方式联系：</w:t>
      </w:r>
      <w:r/>
    </w:p>
    <w:p>
      <w:pPr>
        <w:ind w:firstLine="420"/>
        <w:jc w:val="left"/>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注册咨询：18261002950；</w:t>
      </w:r>
      <w:r/>
    </w:p>
    <w:p>
      <w:pPr>
        <w:ind w:firstLine="420"/>
        <w:jc w:val="left"/>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CA技术咨询电话：400-608-6099；</w:t>
      </w:r>
      <w:r/>
    </w:p>
    <w:p>
      <w:pPr>
        <w:ind w:firstLine="420"/>
        <w:jc w:val="left"/>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签章使用问题：025-83633811、025-83633812、15380932027、15371015030；</w:t>
      </w:r>
      <w:r/>
    </w:p>
    <w:p>
      <w:pPr>
        <w:ind w:firstLine="420"/>
        <w:jc w:val="left"/>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系统使用指导与咨询：0512-69820854；智能客服：登录苏采云系统后，联系系统右下方智能客服图标进行咨询。</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4.售价：免费</w:t>
      </w:r>
      <w:r>
        <w:rPr>
          <w:rFonts w:hint="eastAsia" w:ascii="宋体" w:hAnsi="宋体" w:cs="宋体"/>
          <w:color w:val="auto"/>
          <w:szCs w:val="21"/>
          <w:highlight w:val="none"/>
        </w:rPr>
        <w:t xml:space="preserve">。</w:t>
      </w:r>
      <w:bookmarkEnd w:id="0"/>
      <w:r/>
      <w:bookmarkEnd w:id="1"/>
      <w:r/>
      <w:bookmarkEnd w:id="2"/>
      <w:r/>
      <w:bookmarkEnd w:id="3"/>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四、响应文件提交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bCs/>
          <w:color w:val="auto"/>
          <w:szCs w:val="21"/>
          <w:highlight w:val="none"/>
        </w:rPr>
        <w:t xml:space="preserve">递交响应文件截止时间</w:t>
      </w: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20</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rPr>
        <w:t xml:space="preserve">点30分（北京时间）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2.地点：“苏采云”系统（网址：http://jszfcg.jsczt.cn/）。响应文件网上递交，不需要现场参加采购活动。</w:t>
      </w:r>
      <w:r/>
    </w:p>
    <w:p>
      <w:pPr>
        <w:ind w:firstLine="420"/>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3.本项目采用电子招投标形式，请</w:t>
      </w:r>
      <w:r>
        <w:rPr>
          <w:rFonts w:hint="eastAsia" w:ascii="宋体" w:hAnsi="宋体" w:cs="宋体"/>
          <w:bCs/>
          <w:color w:val="auto"/>
          <w:szCs w:val="21"/>
          <w:highlight w:val="none"/>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color w:val="auto"/>
          <w:szCs w:val="21"/>
          <w:highlight w:val="none"/>
        </w:rPr>
        <w:t xml:space="preserve">供应商应充分考虑到网络环境、网络带宽等风险因素，如因供应商自身原因造成的电子响应文件上传不成功由供应商自行承担全部责任。</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五、开启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1.时间：202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20</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rPr>
        <w:t xml:space="preserve">点30分（北京时间）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2.地点：“苏采云”系统（网址：http://jszfcg.jsczt.cn/）</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auto"/>
          <w:szCs w:val="21"/>
          <w:highlight w:val="none"/>
        </w:rPr>
        <w:t xml:space="preserve">本项目为不见面磋商项目，</w:t>
      </w:r>
      <w:r>
        <w:rPr>
          <w:rFonts w:hint="eastAsia" w:ascii="宋体" w:hAnsi="宋体" w:cs="宋体"/>
          <w:b/>
          <w:color w:val="auto"/>
          <w:szCs w:val="21"/>
          <w:highlight w:val="none"/>
        </w:rPr>
        <w:t xml:space="preserve">开启阶段供应商在【供应商解密】环节必须使用 CA证书解密电子响应文件，如在系统规定的解密时间内未能完成解密的视为放弃参与本项目</w:t>
      </w:r>
      <w:r>
        <w:rPr>
          <w:rFonts w:hint="eastAsia" w:ascii="宋体" w:hAnsi="宋体" w:cs="宋体"/>
          <w:b/>
          <w:bCs/>
          <w:color w:val="auto"/>
          <w:szCs w:val="21"/>
          <w:highlight w:val="none"/>
        </w:rPr>
        <w:t xml:space="preserve">。</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请供应商确保电脑、系统及其他设备（视频输入输出设备等）无误，且开启直至项目结束始终保持系统在线状态。</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六、公告期限</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自本公告发布之日起3个工作日。</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七、其他补充事宜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1.本次采购的相关信息刊登在苏州政府采购网、江苏政府采购网。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2.根据苏州市财政局《关于深入开展苏州市政府采购合同信用融资业务的通知》相关要求，本项目支持政府采购合同信用融资。</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3.苏州市吴中区政府采购办公室监督电话：0512-65283947</w:t>
      </w:r>
      <w:r>
        <w:rPr>
          <w:rFonts w:hint="eastAsia" w:ascii="宋体" w:hAnsi="宋体" w:cs="宋体"/>
          <w:color w:val="auto"/>
          <w:szCs w:val="21"/>
          <w:highlight w:val="none"/>
          <w:lang w:eastAsia="zh-CN"/>
        </w:rPr>
        <w:t xml:space="preserve">。</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八、凡对本次采购提出询问，请按以下方式联系。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1.采购单位信息</w:t>
      </w:r>
      <w:r/>
    </w:p>
    <w:p>
      <w:pPr>
        <w:ind w:firstLine="420"/>
        <w:jc w:val="left"/>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rPr>
        <w:t xml:space="preserve">苏州市吴中区人民法院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址：苏州市吴中区石湖东路102号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联系人：陈栩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联系电话：0512-65687515</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2.采购代理机构信息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名  称：苏州市创杰招投标咨询服务有限公司</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址：苏州市干将西路399号银海大厦303室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 系 人：路丽丽  朱晓芹 庄天扬  潘莉莉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联系方式：0512-65238816</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3.项目联系方式</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项目联系人：路丽丽</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　　  话：0512-65238816</w:t>
      </w:r>
      <w:r/>
    </w:p>
    <w:p>
      <w:pPr>
        <w:ind w:firstLine="643"/>
        <w:jc w:val="center"/>
        <w:pageBreakBefore/>
        <w:spacing w:line="360" w:lineRule="auto"/>
        <w:tabs>
          <w:tab w:val="left" w:pos="315" w:leader="none"/>
          <w:tab w:val="center" w:pos="4153" w:leader="none"/>
        </w:tabs>
        <w:rPr>
          <w:rFonts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二、采购需求</w:t>
      </w:r>
      <w:r/>
    </w:p>
    <w:p>
      <w:pPr>
        <w:ind w:firstLine="420"/>
        <w:spacing w:line="360" w:lineRule="auto"/>
        <w:rPr>
          <w:rFonts w:ascii="宋体" w:hAnsi="宋体" w:cs="宋体"/>
          <w:color w:val="auto"/>
          <w:szCs w:val="21"/>
          <w:highlight w:val="none"/>
        </w:rPr>
      </w:pPr>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苏州市吴中区人民法院</w:t>
      </w:r>
      <w:r>
        <w:rPr>
          <w:rFonts w:hint="eastAsia" w:ascii="宋体" w:hAnsi="宋体" w:cs="宋体"/>
          <w:color w:val="auto"/>
          <w:highlight w:val="none"/>
        </w:rPr>
        <w:t xml:space="preserve">之委托，苏州市创杰招投标咨询服务有限公司对其需采购的</w:t>
      </w:r>
      <w:r>
        <w:rPr>
          <w:rFonts w:hint="eastAsia" w:ascii="宋体" w:hAnsi="宋体" w:cs="宋体"/>
          <w:color w:val="auto"/>
          <w:highlight w:val="none"/>
          <w:lang w:eastAsia="zh-CN"/>
        </w:rPr>
        <w:t xml:space="preserve">法院法律文书电子签章文印设备全包维保服务</w:t>
      </w:r>
      <w:r>
        <w:rPr>
          <w:rFonts w:hint="eastAsia" w:ascii="宋体" w:hAnsi="宋体" w:cs="宋体"/>
          <w:color w:val="auto"/>
          <w:highlight w:val="none"/>
        </w:rPr>
        <w:t xml:space="preserve">在国内组织竞争性磋商采购。欢迎符合资格条件的供应商前来参加磋商</w:t>
      </w:r>
      <w:r>
        <w:rPr>
          <w:rFonts w:hint="eastAsia" w:ascii="宋体" w:hAnsi="宋体" w:cs="宋体"/>
          <w:color w:val="auto"/>
          <w:szCs w:val="21"/>
          <w:highlight w:val="none"/>
        </w:rPr>
        <w:t xml:space="preserve">。</w:t>
      </w:r>
      <w:r/>
    </w:p>
    <w:p>
      <w:pPr>
        <w:ind w:firstLine="422"/>
        <w:spacing w:line="360" w:lineRule="auto"/>
        <w:rPr>
          <w:rFonts w:hint="eastAsia" w:ascii="宋体" w:hAnsi="宋体" w:eastAsia="宋体" w:cs="宋体"/>
          <w:b/>
          <w:color w:val="auto"/>
          <w:szCs w:val="21"/>
          <w:highlight w:val="none"/>
          <w:lang w:eastAsia="zh-CN"/>
        </w:rPr>
        <w:outlineLvl w:val="1"/>
      </w:pPr>
      <w:r>
        <w:rPr>
          <w:rFonts w:hint="eastAsia" w:ascii="宋体" w:hAnsi="宋体" w:cs="宋体"/>
          <w:b/>
          <w:color w:val="auto"/>
          <w:szCs w:val="21"/>
          <w:highlight w:val="none"/>
        </w:rPr>
        <w:t xml:space="preserve">一、采购编号：</w:t>
      </w:r>
      <w:r>
        <w:rPr>
          <w:rFonts w:hint="eastAsia" w:ascii="宋体" w:hAnsi="宋体" w:cs="宋体"/>
          <w:bCs/>
          <w:color w:val="auto"/>
          <w:szCs w:val="21"/>
          <w:highlight w:val="none"/>
          <w:lang w:eastAsia="zh-CN"/>
        </w:rPr>
        <w:t xml:space="preserve">JSZC-320506-CJZB-C2026-0003</w:t>
      </w:r>
      <w:r/>
    </w:p>
    <w:p>
      <w:pPr>
        <w:ind w:firstLine="422"/>
        <w:spacing w:line="360" w:lineRule="auto"/>
        <w:rPr>
          <w:rFonts w:hint="eastAsia" w:ascii="宋体" w:hAnsi="宋体" w:eastAsia="宋体" w:cs="宋体"/>
          <w:b/>
          <w:color w:val="auto"/>
          <w:szCs w:val="21"/>
          <w:highlight w:val="none"/>
          <w:lang w:eastAsia="zh-CN"/>
        </w:rPr>
        <w:outlineLvl w:val="1"/>
      </w:pPr>
      <w:r>
        <w:rPr>
          <w:rFonts w:hint="eastAsia" w:ascii="宋体" w:hAnsi="宋体" w:cs="宋体"/>
          <w:b/>
          <w:color w:val="auto"/>
          <w:szCs w:val="21"/>
          <w:highlight w:val="none"/>
        </w:rPr>
        <w:t xml:space="preserve">二、项目名称：</w:t>
      </w:r>
      <w:r>
        <w:rPr>
          <w:rFonts w:hint="eastAsia" w:ascii="宋体" w:hAnsi="宋体" w:cs="宋体"/>
          <w:bCs/>
          <w:color w:val="auto"/>
          <w:szCs w:val="21"/>
          <w:highlight w:val="none"/>
          <w:lang w:eastAsia="zh-CN"/>
        </w:rPr>
        <w:t xml:space="preserve">法院法律文书电子签章文印设备全包维保服务</w:t>
      </w:r>
      <w:r/>
    </w:p>
    <w:p>
      <w:pPr>
        <w:ind w:firstLine="422"/>
        <w:spacing w:line="360" w:lineRule="auto"/>
        <w:rPr>
          <w:rFonts w:ascii="宋体" w:hAnsi="宋体" w:cs="宋体"/>
          <w:color w:val="auto"/>
          <w:szCs w:val="21"/>
          <w:highlight w:val="none"/>
        </w:rPr>
        <w:outlineLvl w:val="1"/>
      </w:pPr>
      <w:r>
        <w:rPr>
          <w:rFonts w:hint="eastAsia" w:ascii="宋体" w:hAnsi="宋体" w:cs="宋体"/>
          <w:b/>
          <w:color w:val="auto"/>
          <w:szCs w:val="21"/>
          <w:highlight w:val="none"/>
        </w:rPr>
        <w:t xml:space="preserve">★三、采购项目预算：</w:t>
      </w:r>
      <w:r>
        <w:rPr>
          <w:rFonts w:hint="eastAsia" w:ascii="宋体" w:hAnsi="宋体" w:cs="宋体"/>
          <w:bCs/>
          <w:color w:val="auto"/>
          <w:szCs w:val="21"/>
          <w:highlight w:val="none"/>
        </w:rPr>
        <w:t xml:space="preserve">人民币</w:t>
      </w:r>
      <w:r>
        <w:rPr>
          <w:rFonts w:hint="eastAsia" w:ascii="宋体" w:hAnsi="宋体" w:cs="宋体"/>
          <w:bCs/>
          <w:color w:val="auto"/>
          <w:szCs w:val="21"/>
          <w:highlight w:val="none"/>
          <w:lang w:val="en-US" w:eastAsia="zh-CN"/>
        </w:rPr>
        <w:t xml:space="preserve">壹佰贰拾万</w:t>
      </w:r>
      <w:r>
        <w:rPr>
          <w:rFonts w:hint="eastAsia" w:ascii="宋体" w:hAnsi="宋体" w:cs="宋体"/>
          <w:bCs/>
          <w:color w:val="auto"/>
          <w:szCs w:val="21"/>
          <w:highlight w:val="none"/>
        </w:rPr>
        <w:t xml:space="preserve">元整（¥：</w:t>
      </w:r>
      <w:r>
        <w:rPr>
          <w:rFonts w:hint="eastAsia" w:ascii="宋体" w:hAnsi="宋体" w:cs="宋体"/>
          <w:bCs/>
          <w:color w:val="auto"/>
          <w:szCs w:val="21"/>
          <w:highlight w:val="none"/>
          <w:lang w:val="en-US" w:eastAsia="zh-CN"/>
        </w:rPr>
        <w:t xml:space="preserve">1200000</w:t>
      </w:r>
      <w:r>
        <w:rPr>
          <w:rFonts w:hint="eastAsia" w:ascii="宋体" w:hAnsi="宋体" w:cs="宋体"/>
          <w:bCs/>
          <w:color w:val="auto"/>
          <w:szCs w:val="21"/>
          <w:highlight w:val="none"/>
        </w:rPr>
        <w:t xml:space="preserve">.00</w:t>
      </w:r>
      <w:r>
        <w:rPr>
          <w:rFonts w:hint="eastAsia" w:ascii="宋体" w:hAnsi="宋体" w:cs="宋体"/>
          <w:bCs/>
          <w:color w:val="auto"/>
          <w:highlight w:val="none"/>
        </w:rPr>
        <w:t xml:space="preserve">）</w:t>
      </w:r>
      <w:r/>
    </w:p>
    <w:p>
      <w:pPr>
        <w:ind w:firstLine="422"/>
        <w:spacing w:line="360" w:lineRule="auto"/>
        <w:rPr>
          <w:rFonts w:hint="default" w:ascii="宋体" w:hAnsi="宋体" w:eastAsia="宋体" w:cs="宋体"/>
          <w:b/>
          <w:color w:val="auto"/>
          <w:szCs w:val="21"/>
          <w:highlight w:val="none"/>
          <w:lang w:val="en-US" w:eastAsia="zh-CN"/>
        </w:rPr>
        <w:outlineLvl w:val="1"/>
      </w:pPr>
      <w:r/>
      <w:bookmarkStart w:id="4" w:name="_Toc62561680"/>
      <w:r>
        <w:rPr>
          <w:rFonts w:hint="eastAsia" w:ascii="宋体" w:hAnsi="宋体" w:cs="宋体"/>
          <w:b/>
          <w:color w:val="auto"/>
          <w:szCs w:val="21"/>
          <w:highlight w:val="none"/>
          <w:lang w:val="en-US" w:eastAsia="zh-CN"/>
        </w:rPr>
        <w:t xml:space="preserve">      </w:t>
      </w:r>
      <w:r>
        <w:rPr>
          <w:rFonts w:hint="eastAsia" w:ascii="宋体" w:hAnsi="宋体" w:cs="宋体"/>
          <w:b/>
          <w:color w:val="auto"/>
          <w:szCs w:val="21"/>
          <w:highlight w:val="none"/>
        </w:rPr>
        <w:t xml:space="preserve">最高限价</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lang w:val="en-US" w:eastAsia="zh-CN"/>
        </w:rPr>
        <w:t xml:space="preserve">无</w:t>
      </w:r>
      <w:r/>
    </w:p>
    <w:p>
      <w:pPr>
        <w:ind w:firstLine="422"/>
        <w:spacing w:line="360" w:lineRule="auto"/>
        <w:rPr>
          <w:rFonts w:hint="default" w:ascii="宋体" w:hAnsi="宋体" w:eastAsia="宋体" w:cs="宋体"/>
          <w:b/>
          <w:color w:val="auto"/>
          <w:szCs w:val="21"/>
          <w:highlight w:val="none"/>
          <w:lang w:val="en-US" w:eastAsia="zh-CN"/>
        </w:rPr>
        <w:outlineLvl w:val="1"/>
      </w:pPr>
      <w:r>
        <w:rPr>
          <w:rFonts w:hint="eastAsia" w:ascii="宋体" w:hAnsi="宋体" w:cs="宋体"/>
          <w:b/>
          <w:color w:val="auto"/>
          <w:szCs w:val="21"/>
          <w:highlight w:val="none"/>
        </w:rPr>
        <w:t xml:space="preserve">★四、</w:t>
      </w:r>
      <w:r>
        <w:rPr>
          <w:rFonts w:hint="eastAsia" w:ascii="宋体" w:hAnsi="宋体" w:cs="宋体"/>
          <w:b/>
          <w:color w:val="auto"/>
          <w:szCs w:val="21"/>
          <w:highlight w:val="none"/>
          <w:lang w:val="en-US" w:eastAsia="zh-CN"/>
        </w:rPr>
        <w:t xml:space="preserve">服务期限：合同签订之日起12个月。</w:t>
      </w:r>
      <w:r/>
    </w:p>
    <w:p>
      <w:pPr>
        <w:ind w:firstLine="422"/>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w:t>
      </w:r>
      <w:r>
        <w:rPr>
          <w:rFonts w:hint="eastAsia" w:ascii="宋体" w:hAnsi="宋体" w:cs="宋体"/>
          <w:b/>
          <w:color w:val="auto"/>
          <w:szCs w:val="21"/>
          <w:highlight w:val="none"/>
          <w:lang w:val="en-US" w:eastAsia="zh-CN"/>
        </w:rPr>
        <w:t xml:space="preserve">五、</w:t>
      </w:r>
      <w:r>
        <w:rPr>
          <w:rFonts w:hint="eastAsia" w:ascii="宋体" w:hAnsi="宋体" w:cs="宋体"/>
          <w:b/>
          <w:color w:val="auto"/>
          <w:szCs w:val="21"/>
          <w:highlight w:val="none"/>
        </w:rPr>
        <w:t xml:space="preserve">采购需求：（本文件中★标示内容为实质性要求）</w:t>
      </w:r>
      <w:r/>
    </w:p>
    <w:p>
      <w:pPr>
        <w:ind w:firstLine="422"/>
        <w:spacing w:line="276" w:lineRule="auto"/>
        <w:rPr>
          <w:rFonts w:hint="eastAsia" w:ascii="宋体" w:hAnsi="宋体"/>
          <w:b/>
          <w:color w:val="auto"/>
          <w:sz w:val="21"/>
          <w:szCs w:val="21"/>
          <w:highlight w:val="none"/>
        </w:rPr>
        <w:outlineLvl w:val="2"/>
      </w:pPr>
      <w:r/>
      <w:bookmarkStart w:id="5" w:name="_Toc19463"/>
      <w:r>
        <w:rPr>
          <w:rFonts w:hint="eastAsia" w:ascii="宋体" w:hAnsi="宋体"/>
          <w:b/>
          <w:color w:val="auto"/>
          <w:sz w:val="21"/>
          <w:szCs w:val="21"/>
          <w:highlight w:val="none"/>
        </w:rPr>
        <w:t xml:space="preserve">（一）项目背景</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院法律文书作为阐释法律、表述裁判结果，彰显司法正义的重要载体，具有规范程度强、印刷要求高、保存时间长、效率效益高等特点。随着案件的逐年增加，法律文书印刷日益加重，为保证法院正常文印需求，更好的提高审判效率，亟需启动采购法院法律文书电子签章文印设备全包维保服务。</w:t>
      </w:r>
      <w:r/>
    </w:p>
    <w:p>
      <w:pPr>
        <w:ind w:firstLine="422"/>
        <w:spacing w:line="276" w:lineRule="auto"/>
        <w:rPr>
          <w:rFonts w:hint="eastAsia" w:ascii="宋体" w:hAnsi="宋体"/>
          <w:b/>
          <w:color w:val="auto"/>
          <w:sz w:val="21"/>
          <w:szCs w:val="21"/>
          <w:highlight w:val="none"/>
        </w:rPr>
        <w:outlineLvl w:val="2"/>
      </w:pPr>
      <w:r>
        <w:rPr>
          <w:rFonts w:hint="eastAsia" w:ascii="宋体" w:hAnsi="宋体"/>
          <w:b/>
          <w:color w:val="auto"/>
          <w:sz w:val="21"/>
          <w:szCs w:val="21"/>
          <w:highlight w:val="none"/>
        </w:rPr>
        <w:t xml:space="preserve">（二）服务内容</w:t>
      </w:r>
      <w:r/>
    </w:p>
    <w:tbl>
      <w:tblPr>
        <w:tblStyle w:val="720"/>
        <w:tblW w:w="512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6"/>
        <w:gridCol w:w="1068"/>
        <w:gridCol w:w="3142"/>
        <w:gridCol w:w="1248"/>
        <w:gridCol w:w="931"/>
        <w:gridCol w:w="875"/>
        <w:gridCol w:w="1746"/>
      </w:tblGrid>
      <w:tr>
        <w:trPr/>
        <w:tc>
          <w:tcPr>
            <w:tcW w:w="266" w:type="pct"/>
            <w:vAlign w:val="center"/>
            <w:textDirection w:val="lrTb"/>
            <w:noWrap w:val="false"/>
          </w:tcPr>
          <w:p>
            <w:pPr>
              <w:jc w:val="center"/>
              <w:spacing w:line="276" w:lineRule="auto"/>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序号</w:t>
            </w:r>
            <w:r/>
          </w:p>
        </w:tc>
        <w:tc>
          <w:tcPr>
            <w:tcW w:w="561" w:type="pct"/>
            <w:vAlign w:val="center"/>
            <w:textDirection w:val="lrTb"/>
            <w:noWrap w:val="false"/>
          </w:tcPr>
          <w:p>
            <w:pPr>
              <w:jc w:val="center"/>
              <w:spacing w:line="276" w:lineRule="auto"/>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项目名称</w:t>
            </w:r>
            <w:r/>
          </w:p>
        </w:tc>
        <w:tc>
          <w:tcPr>
            <w:tcW w:w="1651" w:type="pct"/>
            <w:vAlign w:val="center"/>
            <w:textDirection w:val="lrTb"/>
            <w:noWrap w:val="false"/>
          </w:tcPr>
          <w:p>
            <w:pPr>
              <w:jc w:val="center"/>
              <w:spacing w:line="276" w:lineRule="auto"/>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服务范围</w:t>
            </w:r>
            <w:r/>
          </w:p>
        </w:tc>
        <w:tc>
          <w:tcPr>
            <w:tcW w:w="656" w:type="pct"/>
            <w:vAlign w:val="center"/>
            <w:textDirection w:val="lrTb"/>
            <w:noWrap w:val="false"/>
          </w:tcPr>
          <w:p>
            <w:pPr>
              <w:jc w:val="center"/>
              <w:spacing w:line="276"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服务内容</w:t>
            </w:r>
            <w:r/>
          </w:p>
        </w:tc>
        <w:tc>
          <w:tcPr>
            <w:tcW w:w="489" w:type="pct"/>
            <w:vAlign w:val="center"/>
            <w:textDirection w:val="lrTb"/>
            <w:noWrap w:val="false"/>
          </w:tcPr>
          <w:p>
            <w:pPr>
              <w:jc w:val="center"/>
              <w:spacing w:line="276" w:lineRule="auto"/>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数量</w:t>
            </w:r>
            <w:r/>
          </w:p>
        </w:tc>
        <w:tc>
          <w:tcPr>
            <w:tcW w:w="460" w:type="pct"/>
            <w:vAlign w:val="center"/>
            <w:textDirection w:val="lrTb"/>
            <w:noWrap w:val="false"/>
          </w:tcPr>
          <w:p>
            <w:pPr>
              <w:jc w:val="center"/>
              <w:spacing w:line="276" w:lineRule="auto"/>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服务</w:t>
            </w:r>
            <w:r/>
          </w:p>
          <w:p>
            <w:pPr>
              <w:jc w:val="center"/>
              <w:spacing w:line="276" w:lineRule="auto"/>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期限</w:t>
            </w:r>
            <w:r/>
          </w:p>
        </w:tc>
        <w:tc>
          <w:tcPr>
            <w:tcW w:w="917" w:type="pct"/>
            <w:vAlign w:val="center"/>
            <w:textDirection w:val="lrTb"/>
            <w:noWrap w:val="false"/>
          </w:tcPr>
          <w:p>
            <w:pPr>
              <w:jc w:val="center"/>
              <w:spacing w:line="276" w:lineRule="auto"/>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备注</w:t>
            </w:r>
            <w:r/>
          </w:p>
        </w:tc>
      </w:tr>
      <w:tr>
        <w:trPr/>
        <w:tc>
          <w:tcPr>
            <w:tcW w:w="266" w:type="pct"/>
            <w:vAlign w:val="center"/>
            <w:textDirection w:val="lrTb"/>
            <w:noWrap w:val="false"/>
          </w:tcPr>
          <w:p>
            <w:pPr>
              <w:jc w:val="center"/>
              <w:spacing w:line="276"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p>
        </w:tc>
        <w:tc>
          <w:tcPr>
            <w:tcW w:w="561" w:type="pct"/>
            <w:vAlign w:val="center"/>
            <w:vMerge w:val="restart"/>
            <w:textDirection w:val="lrTb"/>
            <w:noWrap w:val="false"/>
          </w:tcPr>
          <w:p>
            <w:pPr>
              <w:spacing w:line="276"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法律文书电子签章文印设备全包服务</w:t>
            </w:r>
            <w:r/>
          </w:p>
        </w:tc>
        <w:tc>
          <w:tcPr>
            <w:tcW w:w="1651" w:type="pct"/>
            <w:vAlign w:val="center"/>
            <w:vMerge w:val="restart"/>
            <w:textDirection w:val="lrTb"/>
            <w:noWrap w:val="false"/>
          </w:tcPr>
          <w:p>
            <w:pPr>
              <w:ind w:firstLine="210"/>
              <w:spacing w:line="276" w:lineRule="auto"/>
              <w:rPr>
                <w:rFonts w:hint="eastAsia" w:ascii="宋体" w:hAnsi="宋体"/>
                <w:color w:val="auto"/>
                <w:sz w:val="21"/>
                <w:szCs w:val="21"/>
                <w:highlight w:val="none"/>
              </w:rPr>
            </w:pPr>
            <w:r>
              <w:rPr>
                <w:rFonts w:hint="eastAsia" w:ascii="宋体" w:hAnsi="宋体"/>
                <w:color w:val="auto"/>
                <w:sz w:val="21"/>
                <w:szCs w:val="21"/>
                <w:highlight w:val="none"/>
              </w:rPr>
              <w:t xml:space="preserve">提供区法院和辖区法庭办公文印设备正常运行所需要的所有耗材，</w:t>
            </w:r>
            <w:bookmarkStart w:id="15" w:name="_GoBack"/>
            <w:r/>
            <w:bookmarkEnd w:id="15"/>
            <w:r>
              <w:rPr>
                <w:rFonts w:hint="eastAsia" w:ascii="宋体" w:hAnsi="宋体"/>
                <w:color w:val="auto"/>
                <w:sz w:val="21"/>
                <w:szCs w:val="21"/>
                <w:highlight w:val="none"/>
              </w:rPr>
              <w:t xml:space="preserve">纸张和维修零配件、人工、备件、备用机和电子签章系统软件的日常维护和升级费用。</w:t>
            </w:r>
            <w:r/>
          </w:p>
        </w:tc>
        <w:tc>
          <w:tcPr>
            <w:tcW w:w="656" w:type="pct"/>
            <w:vAlign w:val="center"/>
            <w:textDirection w:val="lrTb"/>
            <w:noWrap w:val="false"/>
          </w:tcPr>
          <w:p>
            <w:pPr>
              <w:jc w:val="left"/>
              <w:spacing w:line="276" w:lineRule="auto"/>
              <w:rPr>
                <w:rFonts w:hint="eastAsia" w:ascii="宋体" w:hAnsi="宋体"/>
                <w:color w:val="auto"/>
                <w:sz w:val="21"/>
                <w:szCs w:val="21"/>
                <w:highlight w:val="none"/>
              </w:rPr>
            </w:pPr>
            <w:r>
              <w:rPr>
                <w:rFonts w:hint="eastAsia" w:ascii="宋体" w:hAnsi="宋体"/>
                <w:color w:val="auto"/>
                <w:sz w:val="21"/>
                <w:szCs w:val="21"/>
                <w:highlight w:val="none"/>
              </w:rPr>
              <w:t xml:space="preserve">黑白A4文印</w:t>
            </w:r>
            <w:r/>
          </w:p>
        </w:tc>
        <w:tc>
          <w:tcPr>
            <w:tcW w:w="489" w:type="pct"/>
            <w:vAlign w:val="center"/>
            <w:textDirection w:val="lrTb"/>
            <w:noWrap w:val="false"/>
          </w:tcPr>
          <w:p>
            <w:pPr>
              <w:spacing w:line="276" w:lineRule="auto"/>
              <w:rPr>
                <w:rFonts w:hint="eastAsia" w:ascii="宋体" w:hAnsi="宋体"/>
                <w:color w:val="auto"/>
                <w:sz w:val="21"/>
                <w:szCs w:val="21"/>
                <w:highlight w:val="none"/>
              </w:rPr>
            </w:pPr>
            <w:r>
              <w:rPr>
                <w:rFonts w:hint="eastAsia" w:ascii="宋体" w:hAnsi="宋体"/>
                <w:color w:val="auto"/>
                <w:sz w:val="21"/>
                <w:szCs w:val="21"/>
                <w:highlight w:val="none"/>
              </w:rPr>
              <w:t xml:space="preserve">300万页</w:t>
            </w:r>
            <w:r/>
          </w:p>
        </w:tc>
        <w:tc>
          <w:tcPr>
            <w:tcW w:w="460" w:type="pct"/>
            <w:vAlign w:val="center"/>
            <w:vMerge w:val="restart"/>
            <w:textDirection w:val="lrTb"/>
            <w:noWrap w:val="false"/>
          </w:tcPr>
          <w:p>
            <w:pPr>
              <w:spacing w:line="276" w:lineRule="auto"/>
              <w:rPr>
                <w:rFonts w:hint="eastAsia" w:ascii="宋体" w:hAnsi="宋体"/>
                <w:color w:val="auto"/>
                <w:sz w:val="21"/>
                <w:szCs w:val="21"/>
                <w:highlight w:val="none"/>
              </w:rPr>
            </w:pPr>
            <w:r>
              <w:rPr>
                <w:rFonts w:hint="eastAsia" w:ascii="宋体" w:hAnsi="宋体"/>
                <w:color w:val="auto"/>
                <w:sz w:val="21"/>
                <w:szCs w:val="21"/>
                <w:highlight w:val="none"/>
              </w:rPr>
              <w:t xml:space="preserve">12个月</w:t>
            </w:r>
            <w:r/>
          </w:p>
        </w:tc>
        <w:tc>
          <w:tcPr>
            <w:tcW w:w="917" w:type="pct"/>
            <w:vAlign w:val="center"/>
            <w:vMerge w:val="restart"/>
            <w:textDirection w:val="lrTb"/>
            <w:noWrap w:val="false"/>
          </w:tcPr>
          <w:p>
            <w:pPr>
              <w:spacing w:line="276" w:lineRule="auto"/>
              <w:rPr>
                <w:rFonts w:hint="eastAsia" w:ascii="宋体" w:hAnsi="宋体"/>
                <w:color w:val="auto"/>
                <w:sz w:val="21"/>
                <w:szCs w:val="21"/>
                <w:highlight w:val="none"/>
              </w:rPr>
            </w:pPr>
            <w:r>
              <w:rPr>
                <w:rFonts w:hint="eastAsia" w:ascii="宋体" w:hAnsi="宋体"/>
                <w:color w:val="auto"/>
                <w:sz w:val="21"/>
                <w:szCs w:val="21"/>
                <w:highlight w:val="none"/>
              </w:rPr>
              <w:t xml:space="preserve">文印数量为暂估数量，最终以实际发生数量按成交单价计费结算。</w:t>
            </w:r>
            <w:r/>
          </w:p>
        </w:tc>
      </w:tr>
      <w:tr>
        <w:trPr/>
        <w:tc>
          <w:tcPr>
            <w:tcW w:w="266" w:type="pct"/>
            <w:vAlign w:val="center"/>
            <w:textDirection w:val="lrTb"/>
            <w:noWrap w:val="false"/>
          </w:tcPr>
          <w:p>
            <w:pPr>
              <w:jc w:val="center"/>
              <w:spacing w:line="276" w:lineRule="auto"/>
              <w:rPr>
                <w:rFonts w:hint="eastAsia" w:ascii="宋体" w:hAnsi="宋体"/>
                <w:color w:val="auto"/>
                <w:sz w:val="21"/>
                <w:szCs w:val="21"/>
                <w:highlight w:val="none"/>
              </w:rPr>
            </w:pPr>
            <w:r>
              <w:rPr>
                <w:rFonts w:hint="eastAsia" w:ascii="宋体" w:hAnsi="宋体"/>
                <w:color w:val="auto"/>
                <w:sz w:val="21"/>
                <w:szCs w:val="21"/>
                <w:highlight w:val="none"/>
              </w:rPr>
              <w:t xml:space="preserve">2</w:t>
            </w:r>
            <w:r/>
          </w:p>
        </w:tc>
        <w:tc>
          <w:tcPr>
            <w:tcW w:w="561" w:type="pct"/>
            <w:vAlign w:val="center"/>
            <w:vMerge w:val="continue"/>
            <w:textDirection w:val="lrTb"/>
            <w:noWrap w:val="false"/>
          </w:tcPr>
          <w:p>
            <w:pPr>
              <w:spacing w:line="276"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W w:w="1651" w:type="pct"/>
            <w:vAlign w:val="center"/>
            <w:vMerge w:val="continue"/>
            <w:textDirection w:val="lrTb"/>
            <w:noWrap w:val="false"/>
          </w:tcPr>
          <w:p>
            <w:pPr>
              <w:spacing w:line="276"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W w:w="656" w:type="pct"/>
            <w:vAlign w:val="center"/>
            <w:textDirection w:val="lrTb"/>
            <w:noWrap w:val="false"/>
          </w:tcPr>
          <w:p>
            <w:pPr>
              <w:jc w:val="left"/>
              <w:spacing w:line="276" w:lineRule="auto"/>
              <w:rPr>
                <w:rFonts w:hint="eastAsia" w:ascii="宋体" w:hAnsi="宋体"/>
                <w:color w:val="auto"/>
                <w:sz w:val="21"/>
                <w:szCs w:val="21"/>
                <w:highlight w:val="none"/>
              </w:rPr>
            </w:pPr>
            <w:r>
              <w:rPr>
                <w:rFonts w:hint="eastAsia" w:ascii="宋体" w:hAnsi="宋体"/>
                <w:color w:val="auto"/>
                <w:sz w:val="21"/>
                <w:szCs w:val="21"/>
                <w:highlight w:val="none"/>
              </w:rPr>
              <w:t xml:space="preserve">彩色A4文印</w:t>
            </w:r>
            <w:r/>
          </w:p>
        </w:tc>
        <w:tc>
          <w:tcPr>
            <w:tcW w:w="489" w:type="pct"/>
            <w:vAlign w:val="center"/>
            <w:textDirection w:val="lrTb"/>
            <w:noWrap w:val="false"/>
          </w:tcPr>
          <w:p>
            <w:pPr>
              <w:spacing w:line="276" w:lineRule="auto"/>
              <w:rPr>
                <w:rFonts w:hint="eastAsia" w:ascii="宋体" w:hAnsi="宋体"/>
                <w:color w:val="auto"/>
                <w:sz w:val="21"/>
                <w:szCs w:val="21"/>
                <w:highlight w:val="none"/>
              </w:rPr>
            </w:pPr>
            <w:r>
              <w:rPr>
                <w:rFonts w:hint="eastAsia" w:ascii="宋体" w:hAnsi="宋体"/>
                <w:color w:val="auto"/>
                <w:sz w:val="21"/>
                <w:szCs w:val="21"/>
                <w:highlight w:val="none"/>
                <w:lang w:bidi="ar"/>
              </w:rPr>
              <w:t xml:space="preserve">100万</w:t>
            </w:r>
            <w:r>
              <w:rPr>
                <w:rFonts w:hint="eastAsia" w:ascii="宋体" w:hAnsi="宋体"/>
                <w:color w:val="auto"/>
                <w:sz w:val="21"/>
                <w:szCs w:val="21"/>
                <w:highlight w:val="none"/>
              </w:rPr>
              <w:t xml:space="preserve">页</w:t>
            </w:r>
            <w:r/>
          </w:p>
        </w:tc>
        <w:tc>
          <w:tcPr>
            <w:tcW w:w="460" w:type="pct"/>
            <w:vAlign w:val="center"/>
            <w:vMerge w:val="continue"/>
            <w:textDirection w:val="lrTb"/>
            <w:noWrap w:val="false"/>
          </w:tcPr>
          <w:p>
            <w:pPr>
              <w:spacing w:line="276"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W w:w="917" w:type="pct"/>
            <w:vAlign w:val="center"/>
            <w:vMerge w:val="continue"/>
            <w:textDirection w:val="lrTb"/>
            <w:noWrap w:val="false"/>
          </w:tcPr>
          <w:p>
            <w:pPr>
              <w:spacing w:line="276" w:lineRule="auto"/>
              <w:rPr>
                <w:rFonts w:hint="eastAsia" w:ascii="宋体" w:hAnsi="宋体"/>
                <w:color w:val="auto"/>
                <w:sz w:val="21"/>
                <w:szCs w:val="21"/>
                <w:highlight w:val="none"/>
              </w:rPr>
            </w:pPr>
            <w:r>
              <w:rPr>
                <w:rFonts w:hint="eastAsia" w:ascii="宋体" w:hAnsi="宋体"/>
                <w:color w:val="auto"/>
                <w:sz w:val="21"/>
                <w:szCs w:val="21"/>
                <w:highlight w:val="none"/>
              </w:rPr>
            </w:r>
            <w:r/>
          </w:p>
        </w:tc>
      </w:tr>
      <w:tr>
        <w:trPr/>
        <w:tc>
          <w:tcPr>
            <w:tcW w:w="266" w:type="pct"/>
            <w:vAlign w:val="center"/>
            <w:textDirection w:val="lrTb"/>
            <w:noWrap w:val="false"/>
          </w:tcPr>
          <w:p>
            <w:pPr>
              <w:jc w:val="center"/>
              <w:spacing w:line="276" w:lineRule="auto"/>
              <w:rPr>
                <w:rFonts w:hint="eastAsia" w:ascii="宋体" w:hAnsi="宋体"/>
                <w:color w:val="auto"/>
                <w:sz w:val="21"/>
                <w:szCs w:val="21"/>
                <w:highlight w:val="none"/>
              </w:rPr>
            </w:pPr>
            <w:r>
              <w:rPr>
                <w:rFonts w:hint="eastAsia" w:ascii="宋体" w:hAnsi="宋体"/>
                <w:color w:val="auto"/>
                <w:sz w:val="21"/>
                <w:szCs w:val="21"/>
                <w:highlight w:val="none"/>
              </w:rPr>
              <w:t xml:space="preserve">3</w:t>
            </w:r>
            <w:r/>
          </w:p>
        </w:tc>
        <w:tc>
          <w:tcPr>
            <w:tcW w:w="561" w:type="pct"/>
            <w:vAlign w:val="center"/>
            <w:vMerge w:val="continue"/>
            <w:textDirection w:val="lrTb"/>
            <w:noWrap w:val="false"/>
          </w:tcPr>
          <w:p>
            <w:pPr>
              <w:spacing w:line="276"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W w:w="1651" w:type="pct"/>
            <w:vAlign w:val="center"/>
            <w:vMerge w:val="continue"/>
            <w:textDirection w:val="lrTb"/>
            <w:noWrap w:val="false"/>
          </w:tcPr>
          <w:p>
            <w:pPr>
              <w:spacing w:line="276"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W w:w="656" w:type="pct"/>
            <w:vAlign w:val="center"/>
            <w:textDirection w:val="lrTb"/>
            <w:noWrap w:val="false"/>
          </w:tcPr>
          <w:p>
            <w:pPr>
              <w:jc w:val="left"/>
              <w:spacing w:line="276" w:lineRule="auto"/>
              <w:rPr>
                <w:rFonts w:hint="eastAsia" w:ascii="宋体" w:hAnsi="宋体"/>
                <w:color w:val="auto"/>
                <w:sz w:val="21"/>
                <w:szCs w:val="21"/>
                <w:highlight w:val="none"/>
              </w:rPr>
            </w:pPr>
            <w:r>
              <w:rPr>
                <w:rFonts w:hint="eastAsia" w:ascii="宋体" w:hAnsi="宋体"/>
                <w:color w:val="auto"/>
                <w:sz w:val="21"/>
                <w:szCs w:val="21"/>
                <w:highlight w:val="none"/>
              </w:rPr>
              <w:t xml:space="preserve">双色A4文印</w:t>
            </w:r>
            <w:r/>
          </w:p>
        </w:tc>
        <w:tc>
          <w:tcPr>
            <w:tcW w:w="489" w:type="pct"/>
            <w:vAlign w:val="center"/>
            <w:textDirection w:val="lrTb"/>
            <w:noWrap w:val="false"/>
          </w:tcPr>
          <w:p>
            <w:pPr>
              <w:spacing w:line="276" w:lineRule="auto"/>
              <w:rPr>
                <w:rFonts w:hint="eastAsia" w:ascii="宋体" w:hAnsi="宋体"/>
                <w:color w:val="auto"/>
                <w:sz w:val="21"/>
                <w:szCs w:val="21"/>
                <w:highlight w:val="none"/>
              </w:rPr>
            </w:pPr>
            <w:r>
              <w:rPr>
                <w:rFonts w:hint="eastAsia" w:ascii="宋体" w:hAnsi="宋体"/>
                <w:color w:val="auto"/>
                <w:sz w:val="21"/>
                <w:szCs w:val="21"/>
                <w:highlight w:val="none"/>
                <w:lang w:bidi="ar"/>
              </w:rPr>
              <w:t xml:space="preserve">20万</w:t>
            </w:r>
            <w:r>
              <w:rPr>
                <w:rFonts w:hint="eastAsia" w:ascii="宋体" w:hAnsi="宋体"/>
                <w:color w:val="auto"/>
                <w:sz w:val="21"/>
                <w:szCs w:val="21"/>
                <w:highlight w:val="none"/>
              </w:rPr>
              <w:t xml:space="preserve">页</w:t>
            </w:r>
            <w:r/>
          </w:p>
        </w:tc>
        <w:tc>
          <w:tcPr>
            <w:tcW w:w="460" w:type="pct"/>
            <w:vAlign w:val="center"/>
            <w:vMerge w:val="continue"/>
            <w:textDirection w:val="lrTb"/>
            <w:noWrap w:val="false"/>
          </w:tcPr>
          <w:p>
            <w:pPr>
              <w:spacing w:line="276"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W w:w="917" w:type="pct"/>
            <w:vAlign w:val="center"/>
            <w:vMerge w:val="continue"/>
            <w:textDirection w:val="lrTb"/>
            <w:noWrap w:val="false"/>
          </w:tcPr>
          <w:p>
            <w:pPr>
              <w:spacing w:line="276" w:lineRule="auto"/>
              <w:rPr>
                <w:rFonts w:hint="eastAsia" w:ascii="宋体" w:hAnsi="宋体"/>
                <w:color w:val="auto"/>
                <w:sz w:val="21"/>
                <w:szCs w:val="21"/>
                <w:highlight w:val="none"/>
              </w:rPr>
            </w:pPr>
            <w:r>
              <w:rPr>
                <w:rFonts w:hint="eastAsia" w:ascii="宋体" w:hAnsi="宋体"/>
                <w:color w:val="auto"/>
                <w:sz w:val="21"/>
                <w:szCs w:val="21"/>
                <w:highlight w:val="none"/>
              </w:rPr>
            </w:r>
            <w:r/>
          </w:p>
        </w:tc>
      </w:tr>
    </w:tbl>
    <w:p>
      <w:pPr>
        <w:ind w:firstLine="422"/>
        <w:spacing w:line="276" w:lineRule="auto"/>
        <w:rPr>
          <w:rFonts w:hint="eastAsia" w:ascii="宋体" w:hAnsi="宋体"/>
          <w:b/>
          <w:color w:val="auto"/>
          <w:sz w:val="21"/>
          <w:szCs w:val="21"/>
          <w:highlight w:val="none"/>
        </w:rPr>
        <w:outlineLvl w:val="2"/>
      </w:pPr>
      <w:r>
        <w:rPr>
          <w:rFonts w:hint="eastAsia" w:ascii="宋体" w:hAnsi="宋体"/>
          <w:b/>
          <w:color w:val="auto"/>
          <w:sz w:val="21"/>
          <w:szCs w:val="21"/>
          <w:highlight w:val="none"/>
        </w:rPr>
        <w:t xml:space="preserve">（三）全包维保服务文印设备清单</w:t>
      </w:r>
      <w:r/>
    </w:p>
    <w:tbl>
      <w:tblPr>
        <w:tblStyle w:val="720"/>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6"/>
        <w:gridCol w:w="928"/>
        <w:gridCol w:w="1100"/>
        <w:gridCol w:w="2376"/>
        <w:gridCol w:w="2852"/>
      </w:tblGrid>
      <w:tr>
        <w:trPr>
          <w:trHeight w:val="20"/>
        </w:trPr>
        <w:tc>
          <w:tcPr>
            <w:tcW w:w="1266" w:type="dxa"/>
            <w:vAlign w:val="center"/>
            <w:textDirection w:val="lrTb"/>
            <w:noWrap/>
          </w:tcPr>
          <w:p>
            <w:pPr>
              <w:jc w:val="cente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部门</w:t>
            </w:r>
            <w:r/>
          </w:p>
        </w:tc>
        <w:tc>
          <w:tcPr>
            <w:tcW w:w="928" w:type="dxa"/>
            <w:vAlign w:val="center"/>
            <w:textDirection w:val="lrTb"/>
            <w:noWrap/>
          </w:tcPr>
          <w:p>
            <w:pPr>
              <w:jc w:val="cente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品牌</w:t>
            </w:r>
            <w:r/>
          </w:p>
        </w:tc>
        <w:tc>
          <w:tcPr>
            <w:tcW w:w="1100" w:type="dxa"/>
            <w:vAlign w:val="center"/>
            <w:textDirection w:val="lrTb"/>
            <w:noWrap/>
          </w:tcPr>
          <w:p>
            <w:pPr>
              <w:jc w:val="cente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型号</w:t>
            </w:r>
            <w:r/>
          </w:p>
        </w:tc>
        <w:tc>
          <w:tcPr>
            <w:tcW w:w="2376" w:type="dxa"/>
            <w:vAlign w:val="center"/>
            <w:textDirection w:val="lrTb"/>
            <w:noWrap/>
          </w:tcPr>
          <w:p>
            <w:pPr>
              <w:jc w:val="cente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序列号</w:t>
            </w:r>
            <w:r/>
          </w:p>
        </w:tc>
        <w:tc>
          <w:tcPr>
            <w:tcW w:w="2852" w:type="dxa"/>
            <w:vAlign w:val="center"/>
            <w:textDirection w:val="lrTb"/>
            <w:noWrap/>
          </w:tcPr>
          <w:p>
            <w:pPr>
              <w:jc w:val="cente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设备位置</w:t>
            </w:r>
            <w:r/>
          </w:p>
        </w:tc>
      </w:tr>
      <w:tr>
        <w:trPr>
          <w:trHeight w:val="20"/>
        </w:trPr>
        <w:tc>
          <w:tcPr>
            <w:tcW w:w="1266" w:type="dxa"/>
            <w:vAlign w:val="center"/>
            <w:vMerge w:val="restart"/>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办公室</w:t>
            </w:r>
            <w:r/>
          </w:p>
        </w:tc>
        <w:tc>
          <w:tcPr>
            <w:tcW w:w="928" w:type="dxa"/>
            <w:vAlign w:val="center"/>
            <w:textDirection w:val="lrTb"/>
            <w:noWrap/>
          </w:tcPr>
          <w:p>
            <w:pPr>
              <w:jc w:val="cente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三星</w:t>
            </w:r>
            <w:r/>
          </w:p>
        </w:tc>
        <w:tc>
          <w:tcPr>
            <w:tcW w:w="1100"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M3325ND</w:t>
            </w:r>
            <w:r/>
          </w:p>
        </w:tc>
        <w:tc>
          <w:tcPr>
            <w:tcW w:w="2376" w:type="dxa"/>
            <w:vAlign w:val="center"/>
            <w:textDirection w:val="lrTb"/>
            <w:noWrap/>
          </w:tcPr>
          <w:p>
            <w:pPr>
              <w:jc w:val="left"/>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ZD9UB8GJ4F00EYY </w:t>
            </w:r>
            <w:r/>
          </w:p>
        </w:tc>
        <w:tc>
          <w:tcPr>
            <w:tcW w:w="2852"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六楼配电间</w:t>
            </w:r>
            <w:r/>
          </w:p>
        </w:tc>
      </w:tr>
      <w:tr>
        <w:trPr>
          <w:trHeight w:val="20"/>
        </w:trPr>
        <w:tc>
          <w:tcPr>
            <w:tcW w:w="1266" w:type="dxa"/>
            <w:vAlign w:val="center"/>
            <w:vMerge w:val="continue"/>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28" w:type="dxa"/>
            <w:vAlign w:val="center"/>
            <w:textDirection w:val="lrTb"/>
            <w:noWrap/>
          </w:tcPr>
          <w:p>
            <w:pPr>
              <w:jc w:val="cente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三星</w:t>
            </w:r>
            <w:r/>
          </w:p>
        </w:tc>
        <w:tc>
          <w:tcPr>
            <w:tcW w:w="1100"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M3325ND</w:t>
            </w:r>
            <w:r/>
          </w:p>
        </w:tc>
        <w:tc>
          <w:tcPr>
            <w:tcW w:w="2376" w:type="dxa"/>
            <w:vAlign w:val="center"/>
            <w:textDirection w:val="lrTb"/>
            <w:noWrap/>
          </w:tcPr>
          <w:p>
            <w:pPr>
              <w:jc w:val="left"/>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ZD9UBJCG5000BQY</w:t>
            </w:r>
            <w:r/>
          </w:p>
        </w:tc>
        <w:tc>
          <w:tcPr>
            <w:tcW w:w="2852"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三楼无纸化办公室</w:t>
            </w:r>
            <w:r/>
          </w:p>
        </w:tc>
      </w:tr>
      <w:tr>
        <w:trPr>
          <w:trHeight w:val="20"/>
        </w:trPr>
        <w:tc>
          <w:tcPr>
            <w:tcW w:w="1266" w:type="dxa"/>
            <w:vAlign w:val="center"/>
            <w:vMerge w:val="continue"/>
            <w:textDirection w:val="lrTb"/>
            <w:noWrap w:val="false"/>
          </w:tcPr>
          <w:p>
            <w:pPr>
              <w:jc w:val="left"/>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28" w:type="dxa"/>
            <w:vAlign w:val="center"/>
            <w:textDirection w:val="lrTb"/>
            <w:noWrap/>
          </w:tcPr>
          <w:p>
            <w:pPr>
              <w:jc w:val="cente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施乐</w:t>
            </w:r>
            <w:r/>
          </w:p>
        </w:tc>
        <w:tc>
          <w:tcPr>
            <w:tcW w:w="1100"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C3373</w:t>
            </w:r>
            <w:r/>
          </w:p>
        </w:tc>
        <w:tc>
          <w:tcPr>
            <w:tcW w:w="2376" w:type="dxa"/>
            <w:vAlign w:val="center"/>
            <w:textDirection w:val="lrTb"/>
            <w:noWrap/>
          </w:tcPr>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856006</w:t>
            </w:r>
            <w:r/>
          </w:p>
        </w:tc>
        <w:tc>
          <w:tcPr>
            <w:tcW w:w="2852"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六楼楼梯间</w:t>
            </w:r>
            <w:r/>
          </w:p>
        </w:tc>
      </w:tr>
      <w:tr>
        <w:trPr>
          <w:trHeight w:val="20"/>
        </w:trPr>
        <w:tc>
          <w:tcPr>
            <w:tcW w:w="1266" w:type="dxa"/>
            <w:vAlign w:val="center"/>
            <w:vMerge w:val="continue"/>
            <w:textDirection w:val="lrTb"/>
            <w:noWrap w:val="false"/>
          </w:tcPr>
          <w:p>
            <w:pPr>
              <w:jc w:val="left"/>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28" w:type="dxa"/>
            <w:vAlign w:val="center"/>
            <w:textDirection w:val="lrTb"/>
            <w:noWrap/>
          </w:tcPr>
          <w:p>
            <w:pPr>
              <w:jc w:val="cente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施乐</w:t>
            </w:r>
            <w:r/>
          </w:p>
        </w:tc>
        <w:tc>
          <w:tcPr>
            <w:tcW w:w="1100"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C3570</w:t>
            </w:r>
            <w:r/>
          </w:p>
        </w:tc>
        <w:tc>
          <w:tcPr>
            <w:tcW w:w="2376" w:type="dxa"/>
            <w:vAlign w:val="center"/>
            <w:textDirection w:val="lrTb"/>
            <w:noWrap/>
          </w:tcPr>
          <w:p>
            <w:pPr>
              <w:jc w:val="left"/>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730654</w:t>
            </w:r>
            <w:r/>
          </w:p>
        </w:tc>
        <w:tc>
          <w:tcPr>
            <w:tcW w:w="2852"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606送达邮政</w:t>
            </w:r>
            <w:r/>
          </w:p>
        </w:tc>
      </w:tr>
      <w:tr>
        <w:trPr>
          <w:trHeight w:val="20"/>
        </w:trPr>
        <w:tc>
          <w:tcPr>
            <w:tcW w:w="1266" w:type="dxa"/>
            <w:vAlign w:val="center"/>
            <w:vMerge w:val="restart"/>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立案庭</w:t>
            </w:r>
            <w:r/>
          </w:p>
        </w:tc>
        <w:tc>
          <w:tcPr>
            <w:tcW w:w="928" w:type="dxa"/>
            <w:vAlign w:val="center"/>
            <w:textDirection w:val="lrTb"/>
            <w:noWrap/>
          </w:tcPr>
          <w:p>
            <w:pPr>
              <w:jc w:val="cente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三星</w:t>
            </w:r>
            <w:r/>
          </w:p>
        </w:tc>
        <w:tc>
          <w:tcPr>
            <w:tcW w:w="1100"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K4350LX</w:t>
            </w:r>
            <w:r/>
          </w:p>
        </w:tc>
        <w:tc>
          <w:tcPr>
            <w:tcW w:w="2376" w:type="dxa"/>
            <w:vAlign w:val="center"/>
            <w:textDirection w:val="lrTb"/>
            <w:noWrap/>
          </w:tcPr>
          <w:p>
            <w:pPr>
              <w:jc w:val="left"/>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29F7BJPK400009T</w:t>
            </w:r>
            <w:r/>
          </w:p>
        </w:tc>
        <w:tc>
          <w:tcPr>
            <w:tcW w:w="2852"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新楼西一楼大厅</w:t>
            </w:r>
            <w:r/>
          </w:p>
        </w:tc>
      </w:tr>
      <w:tr>
        <w:trPr>
          <w:trHeight w:val="20"/>
        </w:trPr>
        <w:tc>
          <w:tcPr>
            <w:tcW w:w="1266" w:type="dxa"/>
            <w:vAlign w:val="center"/>
            <w:vMerge w:val="continue"/>
            <w:textDirection w:val="lrTb"/>
            <w:noWrap w:val="false"/>
          </w:tcPr>
          <w:p>
            <w:pPr>
              <w:jc w:val="left"/>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28" w:type="dxa"/>
            <w:vAlign w:val="center"/>
            <w:textDirection w:val="lrTb"/>
            <w:noWrap/>
          </w:tcPr>
          <w:p>
            <w:pPr>
              <w:jc w:val="cente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三星</w:t>
            </w:r>
            <w:r/>
          </w:p>
        </w:tc>
        <w:tc>
          <w:tcPr>
            <w:tcW w:w="1100"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M3875HD</w:t>
            </w:r>
            <w:r/>
          </w:p>
        </w:tc>
        <w:tc>
          <w:tcPr>
            <w:tcW w:w="2376" w:type="dxa"/>
            <w:vAlign w:val="center"/>
            <w:textDirection w:val="lrTb"/>
            <w:noWrap/>
          </w:tcPr>
          <w:p>
            <w:pPr>
              <w:jc w:val="left"/>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ZD8HBJEJC00038Z</w:t>
            </w:r>
            <w:r/>
          </w:p>
        </w:tc>
        <w:tc>
          <w:tcPr>
            <w:tcW w:w="2852"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新楼305室</w:t>
            </w:r>
            <w:r/>
          </w:p>
        </w:tc>
      </w:tr>
      <w:tr>
        <w:trPr>
          <w:trHeight w:val="20"/>
        </w:trPr>
        <w:tc>
          <w:tcPr>
            <w:tcW w:w="1266" w:type="dxa"/>
            <w:vAlign w:val="center"/>
            <w:vMerge w:val="continue"/>
            <w:textDirection w:val="lrTb"/>
            <w:noWrap w:val="false"/>
          </w:tcPr>
          <w:p>
            <w:pPr>
              <w:jc w:val="left"/>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28" w:type="dxa"/>
            <w:vAlign w:val="center"/>
            <w:textDirection w:val="lrTb"/>
            <w:noWrap/>
          </w:tcPr>
          <w:p>
            <w:pPr>
              <w:jc w:val="cente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施乐</w:t>
            </w:r>
            <w:r/>
          </w:p>
        </w:tc>
        <w:tc>
          <w:tcPr>
            <w:tcW w:w="1100"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C3371</w:t>
            </w:r>
            <w:r/>
          </w:p>
        </w:tc>
        <w:tc>
          <w:tcPr>
            <w:tcW w:w="2376" w:type="dxa"/>
            <w:vAlign w:val="center"/>
            <w:textDirection w:val="lrTb"/>
            <w:noWrap/>
          </w:tcPr>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717817</w:t>
            </w:r>
            <w:r/>
          </w:p>
        </w:tc>
        <w:tc>
          <w:tcPr>
            <w:tcW w:w="2852"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新楼316室</w:t>
            </w:r>
            <w:r/>
          </w:p>
        </w:tc>
      </w:tr>
      <w:tr>
        <w:trPr>
          <w:trHeight w:val="20"/>
        </w:trPr>
        <w:tc>
          <w:tcPr>
            <w:tcW w:w="1266" w:type="dxa"/>
            <w:vAlign w:val="center"/>
            <w:vMerge w:val="continue"/>
            <w:textDirection w:val="lrTb"/>
            <w:noWrap w:val="false"/>
          </w:tcPr>
          <w:p>
            <w:pPr>
              <w:jc w:val="left"/>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28" w:type="dxa"/>
            <w:vAlign w:val="center"/>
            <w:textDirection w:val="lrTb"/>
            <w:noWrap/>
          </w:tcPr>
          <w:p>
            <w:pPr>
              <w:jc w:val="cente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三星</w:t>
            </w:r>
            <w:r/>
          </w:p>
        </w:tc>
        <w:tc>
          <w:tcPr>
            <w:tcW w:w="1100"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K435OLX</w:t>
            </w:r>
            <w:r/>
          </w:p>
        </w:tc>
        <w:tc>
          <w:tcPr>
            <w:tcW w:w="2376" w:type="dxa"/>
            <w:vAlign w:val="center"/>
            <w:textDirection w:val="lrTb"/>
            <w:noWrap/>
          </w:tcPr>
          <w:p>
            <w:pPr>
              <w:jc w:val="left"/>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29F7BJPK400007D</w:t>
            </w:r>
            <w:r/>
          </w:p>
        </w:tc>
        <w:tc>
          <w:tcPr>
            <w:tcW w:w="2852"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新楼316室</w:t>
            </w:r>
            <w:r/>
          </w:p>
        </w:tc>
      </w:tr>
      <w:tr>
        <w:trPr>
          <w:trHeight w:val="20"/>
        </w:trPr>
        <w:tc>
          <w:tcPr>
            <w:tcW w:w="1266" w:type="dxa"/>
            <w:vAlign w:val="center"/>
            <w:vMerge w:val="restart"/>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民二庭</w:t>
            </w:r>
            <w:r/>
          </w:p>
        </w:tc>
        <w:tc>
          <w:tcPr>
            <w:tcW w:w="928" w:type="dxa"/>
            <w:vAlign w:val="center"/>
            <w:textDirection w:val="lrTb"/>
            <w:noWrap/>
          </w:tcPr>
          <w:p>
            <w:pPr>
              <w:jc w:val="cente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三星</w:t>
            </w:r>
            <w:r/>
          </w:p>
        </w:tc>
        <w:tc>
          <w:tcPr>
            <w:tcW w:w="1100"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M3325ND</w:t>
            </w:r>
            <w:r/>
          </w:p>
        </w:tc>
        <w:tc>
          <w:tcPr>
            <w:tcW w:w="2376" w:type="dxa"/>
            <w:vAlign w:val="center"/>
            <w:textDirection w:val="lrTb"/>
            <w:noWrap/>
          </w:tcPr>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ZD8EBJCF600024D</w:t>
            </w:r>
            <w:r/>
          </w:p>
        </w:tc>
        <w:tc>
          <w:tcPr>
            <w:tcW w:w="2852"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七楼配电间</w:t>
            </w:r>
            <w:r/>
          </w:p>
        </w:tc>
      </w:tr>
      <w:tr>
        <w:trPr>
          <w:trHeight w:val="20"/>
        </w:trPr>
        <w:tc>
          <w:tcPr>
            <w:tcW w:w="1266" w:type="dxa"/>
            <w:vAlign w:val="center"/>
            <w:vMerge w:val="continue"/>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28" w:type="dxa"/>
            <w:vAlign w:val="center"/>
            <w:textDirection w:val="lrTb"/>
            <w:noWrap/>
          </w:tcPr>
          <w:p>
            <w:pPr>
              <w:jc w:val="cente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施乐</w:t>
            </w:r>
            <w:r/>
          </w:p>
        </w:tc>
        <w:tc>
          <w:tcPr>
            <w:tcW w:w="1100"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C3373</w:t>
            </w:r>
            <w:r/>
          </w:p>
        </w:tc>
        <w:tc>
          <w:tcPr>
            <w:tcW w:w="2376" w:type="dxa"/>
            <w:vAlign w:val="center"/>
            <w:textDirection w:val="lrTb"/>
            <w:noWrap/>
          </w:tcPr>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848929</w:t>
            </w:r>
            <w:r/>
          </w:p>
        </w:tc>
        <w:tc>
          <w:tcPr>
            <w:tcW w:w="2852"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七楼配电间</w:t>
            </w:r>
            <w:r/>
          </w:p>
        </w:tc>
      </w:tr>
      <w:tr>
        <w:trPr>
          <w:trHeight w:val="20"/>
        </w:trPr>
        <w:tc>
          <w:tcPr>
            <w:tcW w:w="1266" w:type="dxa"/>
            <w:vAlign w:val="center"/>
            <w:vMerge w:val="restart"/>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刑庭</w:t>
            </w:r>
            <w:r/>
          </w:p>
        </w:tc>
        <w:tc>
          <w:tcPr>
            <w:tcW w:w="928" w:type="dxa"/>
            <w:vAlign w:val="center"/>
            <w:textDirection w:val="lrTb"/>
            <w:noWrap/>
          </w:tcPr>
          <w:p>
            <w:pPr>
              <w:jc w:val="cente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施乐</w:t>
            </w:r>
            <w:r/>
          </w:p>
        </w:tc>
        <w:tc>
          <w:tcPr>
            <w:tcW w:w="1100"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C3570</w:t>
            </w:r>
            <w:r/>
          </w:p>
        </w:tc>
        <w:tc>
          <w:tcPr>
            <w:tcW w:w="2376" w:type="dxa"/>
            <w:vAlign w:val="center"/>
            <w:textDirection w:val="lrTb"/>
            <w:noWrap/>
          </w:tcPr>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352788</w:t>
            </w:r>
            <w:r/>
          </w:p>
        </w:tc>
        <w:tc>
          <w:tcPr>
            <w:tcW w:w="2852"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三楼办公室</w:t>
            </w:r>
            <w:r/>
          </w:p>
        </w:tc>
      </w:tr>
      <w:tr>
        <w:trPr>
          <w:trHeight w:val="20"/>
        </w:trPr>
        <w:tc>
          <w:tcPr>
            <w:tcW w:w="1266" w:type="dxa"/>
            <w:vAlign w:val="center"/>
            <w:vMerge w:val="continue"/>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28" w:type="dxa"/>
            <w:vAlign w:val="center"/>
            <w:textDirection w:val="lrTb"/>
            <w:noWrap/>
          </w:tcPr>
          <w:p>
            <w:pPr>
              <w:jc w:val="cente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三星</w:t>
            </w:r>
            <w:r/>
          </w:p>
        </w:tc>
        <w:tc>
          <w:tcPr>
            <w:tcW w:w="1100"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M3325nd</w:t>
            </w:r>
            <w:r/>
          </w:p>
        </w:tc>
        <w:tc>
          <w:tcPr>
            <w:tcW w:w="2376" w:type="dxa"/>
            <w:vAlign w:val="center"/>
            <w:textDirection w:val="lrTb"/>
            <w:noWrap/>
          </w:tcPr>
          <w:p>
            <w:pPr>
              <w:jc w:val="left"/>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ZD8EBJCF60002JT</w:t>
            </w:r>
            <w:r/>
          </w:p>
        </w:tc>
        <w:tc>
          <w:tcPr>
            <w:tcW w:w="2852"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四楼办公室</w:t>
            </w:r>
            <w:r/>
          </w:p>
        </w:tc>
      </w:tr>
      <w:tr>
        <w:trPr>
          <w:trHeight w:val="20"/>
        </w:trPr>
        <w:tc>
          <w:tcPr>
            <w:tcW w:w="1266" w:type="dxa"/>
            <w:vAlign w:val="center"/>
            <w:vMerge w:val="restart"/>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木渎法庭</w:t>
            </w:r>
            <w:r/>
          </w:p>
        </w:tc>
        <w:tc>
          <w:tcPr>
            <w:tcW w:w="928" w:type="dxa"/>
            <w:vAlign w:val="center"/>
            <w:textDirection w:val="lrTb"/>
            <w:noWrap/>
          </w:tcPr>
          <w:p>
            <w:pPr>
              <w:jc w:val="cente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三星</w:t>
            </w:r>
            <w:r/>
          </w:p>
        </w:tc>
        <w:tc>
          <w:tcPr>
            <w:tcW w:w="1100"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M3325nd</w:t>
            </w:r>
            <w:r/>
          </w:p>
        </w:tc>
        <w:tc>
          <w:tcPr>
            <w:tcW w:w="2376" w:type="dxa"/>
            <w:vAlign w:val="center"/>
            <w:textDirection w:val="lrTb"/>
            <w:noWrap/>
          </w:tcPr>
          <w:p>
            <w:pPr>
              <w:jc w:val="left"/>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ZD9UBJAG40006KB</w:t>
            </w:r>
            <w:r/>
          </w:p>
        </w:tc>
        <w:tc>
          <w:tcPr>
            <w:tcW w:w="2852"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法庭无纸化办公室</w:t>
            </w:r>
            <w:r/>
          </w:p>
        </w:tc>
      </w:tr>
      <w:tr>
        <w:trPr>
          <w:trHeight w:val="20"/>
        </w:trPr>
        <w:tc>
          <w:tcPr>
            <w:tcW w:w="1266" w:type="dxa"/>
            <w:vAlign w:val="center"/>
            <w:vMerge w:val="continue"/>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28" w:type="dxa"/>
            <w:vAlign w:val="center"/>
            <w:textDirection w:val="lrTb"/>
            <w:noWrap/>
          </w:tcPr>
          <w:p>
            <w:pPr>
              <w:jc w:val="cente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三星</w:t>
            </w:r>
            <w:r/>
          </w:p>
        </w:tc>
        <w:tc>
          <w:tcPr>
            <w:tcW w:w="1100"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M3325nd</w:t>
            </w:r>
            <w:r/>
          </w:p>
        </w:tc>
        <w:tc>
          <w:tcPr>
            <w:tcW w:w="2376" w:type="dxa"/>
            <w:vAlign w:val="center"/>
            <w:textDirection w:val="lrTb"/>
            <w:noWrap/>
          </w:tcPr>
          <w:p>
            <w:pPr>
              <w:jc w:val="left"/>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ZD9UBJCH4000Q1T</w:t>
            </w:r>
            <w:r/>
          </w:p>
        </w:tc>
        <w:tc>
          <w:tcPr>
            <w:tcW w:w="2852"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法庭三楼调解室</w:t>
            </w:r>
            <w:r/>
          </w:p>
        </w:tc>
      </w:tr>
      <w:tr>
        <w:trPr>
          <w:trHeight w:val="20"/>
        </w:trPr>
        <w:tc>
          <w:tcPr>
            <w:tcW w:w="1266" w:type="dxa"/>
            <w:vAlign w:val="center"/>
            <w:vMerge w:val="continue"/>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28" w:type="dxa"/>
            <w:vAlign w:val="center"/>
            <w:textDirection w:val="lrTb"/>
            <w:noWrap/>
          </w:tcPr>
          <w:p>
            <w:pPr>
              <w:jc w:val="cente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三星</w:t>
            </w:r>
            <w:r/>
          </w:p>
        </w:tc>
        <w:tc>
          <w:tcPr>
            <w:tcW w:w="1100"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M3325nd</w:t>
            </w:r>
            <w:r/>
          </w:p>
        </w:tc>
        <w:tc>
          <w:tcPr>
            <w:tcW w:w="2376" w:type="dxa"/>
            <w:vAlign w:val="center"/>
            <w:textDirection w:val="lrTb"/>
            <w:noWrap/>
          </w:tcPr>
          <w:p>
            <w:pPr>
              <w:jc w:val="left"/>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ZD9UE8GJ3A00YWM </w:t>
            </w:r>
            <w:r/>
          </w:p>
        </w:tc>
        <w:tc>
          <w:tcPr>
            <w:tcW w:w="2852"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法庭一楼大厅</w:t>
            </w:r>
            <w:r/>
          </w:p>
        </w:tc>
      </w:tr>
      <w:tr>
        <w:trPr>
          <w:trHeight w:val="20"/>
        </w:trPr>
        <w:tc>
          <w:tcPr>
            <w:tcW w:w="1266" w:type="dxa"/>
            <w:vAlign w:val="center"/>
            <w:vMerge w:val="continue"/>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28" w:type="dxa"/>
            <w:vAlign w:val="center"/>
            <w:textDirection w:val="lrTb"/>
            <w:noWrap/>
          </w:tcPr>
          <w:p>
            <w:pPr>
              <w:jc w:val="cente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三星</w:t>
            </w:r>
            <w:r/>
          </w:p>
        </w:tc>
        <w:tc>
          <w:tcPr>
            <w:tcW w:w="1100"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M3325nd</w:t>
            </w:r>
            <w:r/>
          </w:p>
        </w:tc>
        <w:tc>
          <w:tcPr>
            <w:tcW w:w="2376" w:type="dxa"/>
            <w:vAlign w:val="center"/>
            <w:textDirection w:val="lrTb"/>
            <w:noWrap/>
          </w:tcPr>
          <w:p>
            <w:pPr>
              <w:jc w:val="left"/>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ZD9UBJH70003CA </w:t>
            </w:r>
            <w:r/>
          </w:p>
        </w:tc>
        <w:tc>
          <w:tcPr>
            <w:tcW w:w="2852"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机房</w:t>
            </w:r>
            <w:r/>
          </w:p>
        </w:tc>
      </w:tr>
      <w:tr>
        <w:trPr>
          <w:trHeight w:val="20"/>
        </w:trPr>
        <w:tc>
          <w:tcPr>
            <w:tcW w:w="1266" w:type="dxa"/>
            <w:vAlign w:val="center"/>
            <w:vMerge w:val="continue"/>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28" w:type="dxa"/>
            <w:vAlign w:val="center"/>
            <w:textDirection w:val="lrTb"/>
            <w:noWrap/>
          </w:tcPr>
          <w:p>
            <w:pPr>
              <w:jc w:val="cente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三星</w:t>
            </w:r>
            <w:r/>
          </w:p>
        </w:tc>
        <w:tc>
          <w:tcPr>
            <w:tcW w:w="1100"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M3325nd</w:t>
            </w:r>
            <w:r/>
          </w:p>
        </w:tc>
        <w:tc>
          <w:tcPr>
            <w:tcW w:w="2376" w:type="dxa"/>
            <w:vAlign w:val="center"/>
            <w:textDirection w:val="lrTb"/>
            <w:noWrap/>
          </w:tcPr>
          <w:p>
            <w:pPr>
              <w:jc w:val="left"/>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ZD8EBJCF6000AJE </w:t>
            </w:r>
            <w:r/>
          </w:p>
        </w:tc>
        <w:tc>
          <w:tcPr>
            <w:tcW w:w="2852"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机房</w:t>
            </w:r>
            <w:r/>
          </w:p>
        </w:tc>
      </w:tr>
      <w:tr>
        <w:trPr>
          <w:trHeight w:val="20"/>
        </w:trPr>
        <w:tc>
          <w:tcPr>
            <w:tcW w:w="1266" w:type="dxa"/>
            <w:vAlign w:val="center"/>
            <w:vMerge w:val="continue"/>
            <w:textDirection w:val="lrTb"/>
            <w:noWrap w:val="false"/>
          </w:tcPr>
          <w:p>
            <w:pPr>
              <w:jc w:val="left"/>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28" w:type="dxa"/>
            <w:vAlign w:val="center"/>
            <w:textDirection w:val="lrTb"/>
            <w:noWrap/>
          </w:tcPr>
          <w:p>
            <w:pPr>
              <w:jc w:val="cente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施乐</w:t>
            </w:r>
            <w:r/>
          </w:p>
        </w:tc>
        <w:tc>
          <w:tcPr>
            <w:tcW w:w="1100"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C3373</w:t>
            </w:r>
            <w:r/>
          </w:p>
        </w:tc>
        <w:tc>
          <w:tcPr>
            <w:tcW w:w="2376" w:type="dxa"/>
            <w:vAlign w:val="center"/>
            <w:textDirection w:val="lrTb"/>
            <w:noWrap/>
          </w:tcPr>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847358</w:t>
            </w:r>
            <w:r/>
          </w:p>
        </w:tc>
        <w:tc>
          <w:tcPr>
            <w:tcW w:w="2852"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法庭2楼文印室</w:t>
            </w:r>
            <w:r/>
          </w:p>
        </w:tc>
      </w:tr>
      <w:tr>
        <w:trPr>
          <w:trHeight w:val="20"/>
        </w:trPr>
        <w:tc>
          <w:tcPr>
            <w:tcW w:w="1266" w:type="dxa"/>
            <w:vAlign w:val="center"/>
            <w:vMerge w:val="continue"/>
            <w:textDirection w:val="lrTb"/>
            <w:noWrap w:val="false"/>
          </w:tcPr>
          <w:p>
            <w:pPr>
              <w:jc w:val="left"/>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28" w:type="dxa"/>
            <w:vAlign w:val="center"/>
            <w:textDirection w:val="lrTb"/>
            <w:noWrap/>
          </w:tcPr>
          <w:p>
            <w:pPr>
              <w:jc w:val="cente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施乐</w:t>
            </w:r>
            <w:r/>
          </w:p>
        </w:tc>
        <w:tc>
          <w:tcPr>
            <w:tcW w:w="1100"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C3570</w:t>
            </w:r>
            <w:r/>
          </w:p>
        </w:tc>
        <w:tc>
          <w:tcPr>
            <w:tcW w:w="2376" w:type="dxa"/>
            <w:vAlign w:val="center"/>
            <w:textDirection w:val="lrTb"/>
            <w:noWrap/>
          </w:tcPr>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352424</w:t>
            </w:r>
            <w:r/>
          </w:p>
        </w:tc>
        <w:tc>
          <w:tcPr>
            <w:tcW w:w="2852"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法庭3楼文印室</w:t>
            </w:r>
            <w:r/>
          </w:p>
        </w:tc>
      </w:tr>
      <w:tr>
        <w:trPr>
          <w:trHeight w:val="20"/>
        </w:trPr>
        <w:tc>
          <w:tcPr>
            <w:tcW w:w="1266" w:type="dxa"/>
            <w:vAlign w:val="center"/>
            <w:vMerge w:val="restart"/>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甪直法庭</w:t>
            </w:r>
            <w:r/>
          </w:p>
        </w:tc>
        <w:tc>
          <w:tcPr>
            <w:tcW w:w="928" w:type="dxa"/>
            <w:vAlign w:val="center"/>
            <w:textDirection w:val="lrTb"/>
            <w:noWrap/>
          </w:tcPr>
          <w:p>
            <w:pPr>
              <w:jc w:val="cente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施乐</w:t>
            </w:r>
            <w:r/>
          </w:p>
        </w:tc>
        <w:tc>
          <w:tcPr>
            <w:tcW w:w="1100"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C3373</w:t>
            </w:r>
            <w:r/>
          </w:p>
        </w:tc>
        <w:tc>
          <w:tcPr>
            <w:tcW w:w="2376" w:type="dxa"/>
            <w:vAlign w:val="center"/>
            <w:textDirection w:val="lrTb"/>
            <w:noWrap/>
          </w:tcPr>
          <w:p>
            <w:pPr>
              <w:jc w:val="left"/>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847361</w:t>
            </w:r>
            <w:r/>
          </w:p>
        </w:tc>
        <w:tc>
          <w:tcPr>
            <w:tcW w:w="2852"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法庭文印室</w:t>
            </w:r>
            <w:r/>
          </w:p>
        </w:tc>
      </w:tr>
      <w:tr>
        <w:trPr>
          <w:trHeight w:val="20"/>
        </w:trPr>
        <w:tc>
          <w:tcPr>
            <w:tcW w:w="1266" w:type="dxa"/>
            <w:vAlign w:val="center"/>
            <w:vMerge w:val="continue"/>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28" w:type="dxa"/>
            <w:vAlign w:val="center"/>
            <w:textDirection w:val="lrTb"/>
            <w:noWrap/>
          </w:tcPr>
          <w:p>
            <w:pPr>
              <w:jc w:val="cente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三星</w:t>
            </w:r>
            <w:r/>
          </w:p>
        </w:tc>
        <w:tc>
          <w:tcPr>
            <w:tcW w:w="1100"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M3325nd</w:t>
            </w:r>
            <w:r/>
          </w:p>
        </w:tc>
        <w:tc>
          <w:tcPr>
            <w:tcW w:w="2376" w:type="dxa"/>
            <w:vAlign w:val="center"/>
            <w:textDirection w:val="lrTb"/>
            <w:noWrap/>
          </w:tcPr>
          <w:p>
            <w:pPr>
              <w:jc w:val="left"/>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ZD9UBJCF80008GL</w:t>
            </w:r>
            <w:r/>
          </w:p>
        </w:tc>
        <w:tc>
          <w:tcPr>
            <w:tcW w:w="2852"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法庭无纸化办公室</w:t>
            </w:r>
            <w:r/>
          </w:p>
        </w:tc>
      </w:tr>
      <w:tr>
        <w:trPr>
          <w:trHeight w:val="20"/>
        </w:trPr>
        <w:tc>
          <w:tcPr>
            <w:tcW w:w="1266" w:type="dxa"/>
            <w:vAlign w:val="center"/>
            <w:vMerge w:val="restart"/>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开发区法庭</w:t>
            </w:r>
            <w:r/>
          </w:p>
        </w:tc>
        <w:tc>
          <w:tcPr>
            <w:tcW w:w="928" w:type="dxa"/>
            <w:vAlign w:val="center"/>
            <w:textDirection w:val="lrTb"/>
            <w:noWrap/>
          </w:tcPr>
          <w:p>
            <w:pPr>
              <w:jc w:val="cente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施乐</w:t>
            </w:r>
            <w:r/>
          </w:p>
        </w:tc>
        <w:tc>
          <w:tcPr>
            <w:tcW w:w="1100"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C3373</w:t>
            </w:r>
            <w:r/>
          </w:p>
        </w:tc>
        <w:tc>
          <w:tcPr>
            <w:tcW w:w="2376" w:type="dxa"/>
            <w:vAlign w:val="center"/>
            <w:textDirection w:val="lrTb"/>
            <w:noWrap/>
          </w:tcPr>
          <w:p>
            <w:pPr>
              <w:jc w:val="left"/>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847365</w:t>
            </w:r>
            <w:r/>
          </w:p>
        </w:tc>
        <w:tc>
          <w:tcPr>
            <w:tcW w:w="2852"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法庭文印室</w:t>
            </w:r>
            <w:r/>
          </w:p>
        </w:tc>
      </w:tr>
      <w:tr>
        <w:trPr>
          <w:trHeight w:val="20"/>
        </w:trPr>
        <w:tc>
          <w:tcPr>
            <w:tcW w:w="1266" w:type="dxa"/>
            <w:vAlign w:val="center"/>
            <w:vMerge w:val="continue"/>
            <w:textDirection w:val="lrTb"/>
            <w:noWrap w:val="false"/>
          </w:tcPr>
          <w:p>
            <w:pPr>
              <w:jc w:val="left"/>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28" w:type="dxa"/>
            <w:vAlign w:val="center"/>
            <w:textDirection w:val="lrTb"/>
            <w:noWrap/>
          </w:tcPr>
          <w:p>
            <w:pPr>
              <w:jc w:val="cente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三星</w:t>
            </w:r>
            <w:r/>
          </w:p>
        </w:tc>
        <w:tc>
          <w:tcPr>
            <w:tcW w:w="1100"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M3325nd</w:t>
            </w:r>
            <w:r/>
          </w:p>
        </w:tc>
        <w:tc>
          <w:tcPr>
            <w:tcW w:w="2376" w:type="dxa"/>
            <w:vAlign w:val="center"/>
            <w:textDirection w:val="lrTb"/>
            <w:noWrap/>
          </w:tcPr>
          <w:p>
            <w:pPr>
              <w:jc w:val="left"/>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ZD9UBJEJ2001ELL </w:t>
            </w:r>
            <w:r/>
          </w:p>
        </w:tc>
        <w:tc>
          <w:tcPr>
            <w:tcW w:w="2852"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法庭无纸化办公室</w:t>
            </w:r>
            <w:r/>
          </w:p>
        </w:tc>
      </w:tr>
      <w:tr>
        <w:trPr>
          <w:trHeight w:val="20"/>
        </w:trPr>
        <w:tc>
          <w:tcPr>
            <w:tcW w:w="1266" w:type="dxa"/>
            <w:vAlign w:val="center"/>
            <w:vMerge w:val="continue"/>
            <w:textDirection w:val="lrTb"/>
            <w:noWrap w:val="false"/>
          </w:tcPr>
          <w:p>
            <w:pPr>
              <w:jc w:val="left"/>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28" w:type="dxa"/>
            <w:vAlign w:val="center"/>
            <w:textDirection w:val="lrTb"/>
            <w:noWrap/>
          </w:tcPr>
          <w:p>
            <w:pPr>
              <w:jc w:val="cente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三星</w:t>
            </w:r>
            <w:r/>
          </w:p>
        </w:tc>
        <w:tc>
          <w:tcPr>
            <w:tcW w:w="1100"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M3325nd</w:t>
            </w:r>
            <w:r/>
          </w:p>
        </w:tc>
        <w:tc>
          <w:tcPr>
            <w:tcW w:w="2376" w:type="dxa"/>
            <w:vAlign w:val="center"/>
            <w:textDirection w:val="lrTb"/>
            <w:noWrap/>
          </w:tcPr>
          <w:p>
            <w:pPr>
              <w:jc w:val="left"/>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ZD9UB8GJ2A00GMJ</w:t>
            </w:r>
            <w:r/>
          </w:p>
        </w:tc>
        <w:tc>
          <w:tcPr>
            <w:tcW w:w="2852"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法庭西楼102室</w:t>
            </w:r>
            <w:r/>
          </w:p>
        </w:tc>
      </w:tr>
      <w:tr>
        <w:trPr>
          <w:trHeight w:val="20"/>
        </w:trPr>
        <w:tc>
          <w:tcPr>
            <w:tcW w:w="1266" w:type="dxa"/>
            <w:vAlign w:val="center"/>
            <w:vMerge w:val="restart"/>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执行局</w:t>
            </w:r>
            <w:r/>
          </w:p>
        </w:tc>
        <w:tc>
          <w:tcPr>
            <w:tcW w:w="928" w:type="dxa"/>
            <w:vAlign w:val="center"/>
            <w:textDirection w:val="lrTb"/>
            <w:noWrap/>
          </w:tcPr>
          <w:p>
            <w:pPr>
              <w:jc w:val="cente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三星</w:t>
            </w:r>
            <w:r/>
          </w:p>
        </w:tc>
        <w:tc>
          <w:tcPr>
            <w:tcW w:w="1100"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M3875HD</w:t>
            </w:r>
            <w:r/>
          </w:p>
        </w:tc>
        <w:tc>
          <w:tcPr>
            <w:tcW w:w="2376" w:type="dxa"/>
            <w:vAlign w:val="center"/>
            <w:textDirection w:val="lrTb"/>
            <w:noWrap/>
          </w:tcPr>
          <w:p>
            <w:pPr>
              <w:jc w:val="left"/>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ZD8HBJEJC0024YX </w:t>
            </w:r>
            <w:r/>
          </w:p>
        </w:tc>
        <w:tc>
          <w:tcPr>
            <w:tcW w:w="2852"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新楼东一楼大厅</w:t>
            </w:r>
            <w:r/>
          </w:p>
        </w:tc>
      </w:tr>
      <w:tr>
        <w:trPr>
          <w:trHeight w:val="20"/>
        </w:trPr>
        <w:tc>
          <w:tcPr>
            <w:tcW w:w="1266" w:type="dxa"/>
            <w:vAlign w:val="center"/>
            <w:vMerge w:val="continue"/>
            <w:textDirection w:val="lrTb"/>
            <w:noWrap w:val="false"/>
          </w:tcPr>
          <w:p>
            <w:pPr>
              <w:jc w:val="left"/>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28" w:type="dxa"/>
            <w:vAlign w:val="center"/>
            <w:textDirection w:val="lrTb"/>
            <w:noWrap/>
          </w:tcPr>
          <w:p>
            <w:pPr>
              <w:jc w:val="cente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三星</w:t>
            </w:r>
            <w:r/>
          </w:p>
        </w:tc>
        <w:tc>
          <w:tcPr>
            <w:tcW w:w="1100"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K4350LX</w:t>
            </w:r>
            <w:r/>
          </w:p>
        </w:tc>
        <w:tc>
          <w:tcPr>
            <w:tcW w:w="2376" w:type="dxa"/>
            <w:vAlign w:val="center"/>
            <w:textDirection w:val="lrTb"/>
            <w:noWrap/>
          </w:tcPr>
          <w:p>
            <w:pPr>
              <w:jc w:val="left"/>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29F7BJLJC00006W </w:t>
            </w:r>
            <w:r/>
          </w:p>
        </w:tc>
        <w:tc>
          <w:tcPr>
            <w:tcW w:w="2852"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新楼421室</w:t>
            </w:r>
            <w:r/>
          </w:p>
        </w:tc>
      </w:tr>
      <w:tr>
        <w:trPr>
          <w:trHeight w:val="20"/>
        </w:trPr>
        <w:tc>
          <w:tcPr>
            <w:tcW w:w="1266" w:type="dxa"/>
            <w:vAlign w:val="center"/>
            <w:vMerge w:val="continue"/>
            <w:textDirection w:val="lrTb"/>
            <w:noWrap w:val="false"/>
          </w:tcPr>
          <w:p>
            <w:pPr>
              <w:jc w:val="left"/>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28" w:type="dxa"/>
            <w:vAlign w:val="center"/>
            <w:textDirection w:val="lrTb"/>
            <w:noWrap/>
          </w:tcPr>
          <w:p>
            <w:pPr>
              <w:jc w:val="cente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施乐</w:t>
            </w:r>
            <w:r/>
          </w:p>
        </w:tc>
        <w:tc>
          <w:tcPr>
            <w:tcW w:w="1100"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C3373</w:t>
            </w:r>
            <w:r/>
          </w:p>
        </w:tc>
        <w:tc>
          <w:tcPr>
            <w:tcW w:w="2376" w:type="dxa"/>
            <w:vAlign w:val="center"/>
            <w:textDirection w:val="lrTb"/>
            <w:noWrap/>
          </w:tcPr>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847419</w:t>
            </w:r>
            <w:r/>
          </w:p>
        </w:tc>
        <w:tc>
          <w:tcPr>
            <w:tcW w:w="2852"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新楼421室</w:t>
            </w:r>
            <w:r/>
          </w:p>
        </w:tc>
      </w:tr>
      <w:tr>
        <w:trPr>
          <w:trHeight w:val="20"/>
        </w:trPr>
        <w:tc>
          <w:tcPr>
            <w:tcW w:w="1266" w:type="dxa"/>
            <w:vAlign w:val="center"/>
            <w:vMerge w:val="continue"/>
            <w:textDirection w:val="lrTb"/>
            <w:noWrap w:val="false"/>
          </w:tcPr>
          <w:p>
            <w:pPr>
              <w:jc w:val="left"/>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28" w:type="dxa"/>
            <w:vAlign w:val="center"/>
            <w:textDirection w:val="lrTb"/>
            <w:noWrap/>
          </w:tcPr>
          <w:p>
            <w:pPr>
              <w:jc w:val="cente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三星</w:t>
            </w:r>
            <w:r/>
          </w:p>
        </w:tc>
        <w:tc>
          <w:tcPr>
            <w:tcW w:w="1100"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M3325nd</w:t>
            </w:r>
            <w:r/>
          </w:p>
        </w:tc>
        <w:tc>
          <w:tcPr>
            <w:tcW w:w="2376" w:type="dxa"/>
            <w:vAlign w:val="center"/>
            <w:textDirection w:val="lrTb"/>
            <w:noWrap/>
          </w:tcPr>
          <w:p>
            <w:pPr>
              <w:jc w:val="left"/>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ZD9UB8GHAF005RW </w:t>
            </w:r>
            <w:r/>
          </w:p>
        </w:tc>
        <w:tc>
          <w:tcPr>
            <w:tcW w:w="2852"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执行局无纸化中间库</w:t>
            </w:r>
            <w:r/>
          </w:p>
        </w:tc>
      </w:tr>
      <w:tr>
        <w:trPr>
          <w:trHeight w:val="20"/>
        </w:trPr>
        <w:tc>
          <w:tcPr>
            <w:tcW w:w="1266" w:type="dxa"/>
            <w:vAlign w:val="center"/>
            <w:vMerge w:val="continue"/>
            <w:textDirection w:val="lrTb"/>
            <w:noWrap w:val="false"/>
          </w:tcPr>
          <w:p>
            <w:pPr>
              <w:jc w:val="left"/>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28" w:type="dxa"/>
            <w:vAlign w:val="center"/>
            <w:textDirection w:val="lrTb"/>
            <w:noWrap/>
          </w:tcPr>
          <w:p>
            <w:pPr>
              <w:jc w:val="cente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三星</w:t>
            </w:r>
            <w:r/>
          </w:p>
        </w:tc>
        <w:tc>
          <w:tcPr>
            <w:tcW w:w="1100"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X7600LX</w:t>
            </w:r>
            <w:r/>
          </w:p>
        </w:tc>
        <w:tc>
          <w:tcPr>
            <w:tcW w:w="2376" w:type="dxa"/>
            <w:vAlign w:val="center"/>
            <w:textDirection w:val="lrTb"/>
            <w:noWrap/>
          </w:tcPr>
          <w:p>
            <w:pPr>
              <w:jc w:val="left"/>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0H06BJNK50000KW</w:t>
            </w:r>
            <w:r/>
          </w:p>
        </w:tc>
        <w:tc>
          <w:tcPr>
            <w:tcW w:w="2852"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新楼三楼执行指挥中心</w:t>
            </w:r>
            <w:r/>
          </w:p>
        </w:tc>
      </w:tr>
      <w:tr>
        <w:trPr>
          <w:trHeight w:val="20"/>
        </w:trPr>
        <w:tc>
          <w:tcPr>
            <w:tcW w:w="1266" w:type="dxa"/>
            <w:vAlign w:val="center"/>
            <w:vMerge w:val="continue"/>
            <w:textDirection w:val="lrTb"/>
            <w:noWrap w:val="false"/>
          </w:tcPr>
          <w:p>
            <w:pPr>
              <w:jc w:val="left"/>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28" w:type="dxa"/>
            <w:vAlign w:val="center"/>
            <w:textDirection w:val="lrTb"/>
            <w:noWrap/>
          </w:tcPr>
          <w:p>
            <w:pPr>
              <w:jc w:val="cente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三星</w:t>
            </w:r>
            <w:r/>
          </w:p>
        </w:tc>
        <w:tc>
          <w:tcPr>
            <w:tcW w:w="1100"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K4350LX</w:t>
            </w:r>
            <w:r/>
          </w:p>
        </w:tc>
        <w:tc>
          <w:tcPr>
            <w:tcW w:w="2376" w:type="dxa"/>
            <w:vAlign w:val="center"/>
            <w:textDirection w:val="lrTb"/>
            <w:noWrap/>
          </w:tcPr>
          <w:p>
            <w:pPr>
              <w:jc w:val="left"/>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29F7BJMK600004Y </w:t>
            </w:r>
            <w:r/>
          </w:p>
        </w:tc>
        <w:tc>
          <w:tcPr>
            <w:tcW w:w="2852"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新楼三楼执行指挥中心</w:t>
            </w:r>
            <w:r/>
          </w:p>
        </w:tc>
      </w:tr>
      <w:tr>
        <w:trPr>
          <w:trHeight w:val="20"/>
        </w:trPr>
        <w:tc>
          <w:tcPr>
            <w:tcW w:w="1266" w:type="dxa"/>
            <w:vAlign w:val="center"/>
            <w:vMerge w:val="continue"/>
            <w:textDirection w:val="lrTb"/>
            <w:noWrap w:val="false"/>
          </w:tcPr>
          <w:p>
            <w:pPr>
              <w:jc w:val="left"/>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28" w:type="dxa"/>
            <w:vAlign w:val="center"/>
            <w:textDirection w:val="lrTb"/>
            <w:noWrap/>
          </w:tcPr>
          <w:p>
            <w:pPr>
              <w:jc w:val="cente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惠普</w:t>
            </w:r>
            <w:r/>
          </w:p>
        </w:tc>
        <w:tc>
          <w:tcPr>
            <w:tcW w:w="1100"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M552dn</w:t>
            </w:r>
            <w:r/>
          </w:p>
        </w:tc>
        <w:tc>
          <w:tcPr>
            <w:tcW w:w="2376" w:type="dxa"/>
            <w:vAlign w:val="center"/>
            <w:textDirection w:val="lrTb"/>
            <w:noWrap/>
          </w:tcPr>
          <w:p>
            <w:pPr>
              <w:jc w:val="left"/>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JPCRN3S1N8</w:t>
            </w:r>
            <w:r/>
          </w:p>
        </w:tc>
        <w:tc>
          <w:tcPr>
            <w:tcW w:w="2852"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新楼东一楼大厅</w:t>
            </w:r>
            <w:r/>
          </w:p>
        </w:tc>
      </w:tr>
      <w:tr>
        <w:trPr>
          <w:trHeight w:val="20"/>
        </w:trPr>
        <w:tc>
          <w:tcPr>
            <w:tcW w:w="1266" w:type="dxa"/>
            <w:vAlign w:val="center"/>
            <w:vMerge w:val="continue"/>
            <w:textDirection w:val="lrTb"/>
            <w:noWrap w:val="false"/>
          </w:tcPr>
          <w:p>
            <w:pPr>
              <w:jc w:val="left"/>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28" w:type="dxa"/>
            <w:vAlign w:val="center"/>
            <w:textDirection w:val="lrTb"/>
            <w:noWrap/>
          </w:tcPr>
          <w:p>
            <w:pPr>
              <w:jc w:val="cente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惠普</w:t>
            </w:r>
            <w:r/>
          </w:p>
        </w:tc>
        <w:tc>
          <w:tcPr>
            <w:tcW w:w="1100"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M401dn</w:t>
            </w:r>
            <w:r/>
          </w:p>
        </w:tc>
        <w:tc>
          <w:tcPr>
            <w:tcW w:w="2376" w:type="dxa"/>
            <w:vAlign w:val="center"/>
            <w:textDirection w:val="lrTb"/>
            <w:noWrap/>
          </w:tcPr>
          <w:p>
            <w:pPr>
              <w:jc w:val="left"/>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VNC3502209</w:t>
            </w:r>
            <w:r/>
          </w:p>
        </w:tc>
        <w:tc>
          <w:tcPr>
            <w:tcW w:w="2852"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新楼422室</w:t>
            </w:r>
            <w:r/>
          </w:p>
        </w:tc>
      </w:tr>
      <w:tr>
        <w:trPr>
          <w:trHeight w:val="20"/>
        </w:trPr>
        <w:tc>
          <w:tcPr>
            <w:tcW w:w="1266" w:type="dxa"/>
            <w:vAlign w:val="center"/>
            <w:vMerge w:val="continue"/>
            <w:textDirection w:val="lrTb"/>
            <w:noWrap w:val="false"/>
          </w:tcPr>
          <w:p>
            <w:pPr>
              <w:jc w:val="left"/>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28" w:type="dxa"/>
            <w:vAlign w:val="center"/>
            <w:textDirection w:val="lrTb"/>
            <w:noWrap/>
          </w:tcPr>
          <w:p>
            <w:pPr>
              <w:jc w:val="cente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惠普</w:t>
            </w:r>
            <w:r/>
          </w:p>
        </w:tc>
        <w:tc>
          <w:tcPr>
            <w:tcW w:w="1100"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M425dn</w:t>
            </w:r>
            <w:r/>
          </w:p>
        </w:tc>
        <w:tc>
          <w:tcPr>
            <w:tcW w:w="2376" w:type="dxa"/>
            <w:vAlign w:val="center"/>
            <w:textDirection w:val="lrTb"/>
            <w:noWrap/>
          </w:tcPr>
          <w:p>
            <w:pPr>
              <w:jc w:val="left"/>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CND8F770T4 </w:t>
            </w:r>
            <w:r/>
          </w:p>
        </w:tc>
        <w:tc>
          <w:tcPr>
            <w:tcW w:w="2852"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新楼421室</w:t>
            </w:r>
            <w:r/>
          </w:p>
        </w:tc>
      </w:tr>
      <w:tr>
        <w:trPr>
          <w:trHeight w:val="20"/>
        </w:trPr>
        <w:tc>
          <w:tcPr>
            <w:tcW w:w="1266" w:type="dxa"/>
            <w:vAlign w:val="center"/>
            <w:vMerge w:val="restart"/>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民一庭</w:t>
            </w:r>
            <w:r/>
          </w:p>
        </w:tc>
        <w:tc>
          <w:tcPr>
            <w:tcW w:w="928" w:type="dxa"/>
            <w:vAlign w:val="center"/>
            <w:textDirection w:val="lrTb"/>
            <w:noWrap/>
          </w:tcPr>
          <w:p>
            <w:pPr>
              <w:jc w:val="cente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三星</w:t>
            </w:r>
            <w:r/>
          </w:p>
        </w:tc>
        <w:tc>
          <w:tcPr>
            <w:tcW w:w="1100"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C3375</w:t>
            </w:r>
            <w:r/>
          </w:p>
        </w:tc>
        <w:tc>
          <w:tcPr>
            <w:tcW w:w="2376" w:type="dxa"/>
            <w:vAlign w:val="center"/>
            <w:textDirection w:val="lrTb"/>
            <w:noWrap/>
          </w:tcPr>
          <w:p>
            <w:pPr>
              <w:jc w:val="left"/>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855983</w:t>
            </w:r>
            <w:r/>
          </w:p>
        </w:tc>
        <w:tc>
          <w:tcPr>
            <w:tcW w:w="2852"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五楼配电间</w:t>
            </w:r>
            <w:r/>
          </w:p>
        </w:tc>
      </w:tr>
      <w:tr>
        <w:trPr>
          <w:trHeight w:val="20"/>
        </w:trPr>
        <w:tc>
          <w:tcPr>
            <w:tcW w:w="1266" w:type="dxa"/>
            <w:vAlign w:val="center"/>
            <w:vMerge w:val="continue"/>
            <w:textDirection w:val="lrTb"/>
            <w:noWrap w:val="false"/>
          </w:tcPr>
          <w:p>
            <w:pPr>
              <w:jc w:val="left"/>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28" w:type="dxa"/>
            <w:vAlign w:val="center"/>
            <w:textDirection w:val="lrTb"/>
            <w:noWrap/>
          </w:tcPr>
          <w:p>
            <w:pPr>
              <w:jc w:val="cente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三星</w:t>
            </w:r>
            <w:r/>
          </w:p>
        </w:tc>
        <w:tc>
          <w:tcPr>
            <w:tcW w:w="1100"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C3570</w:t>
            </w:r>
            <w:r/>
          </w:p>
        </w:tc>
        <w:tc>
          <w:tcPr>
            <w:tcW w:w="2376" w:type="dxa"/>
            <w:vAlign w:val="center"/>
            <w:textDirection w:val="lrTb"/>
            <w:noWrap/>
          </w:tcPr>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708925</w:t>
            </w:r>
            <w:r/>
          </w:p>
        </w:tc>
        <w:tc>
          <w:tcPr>
            <w:tcW w:w="2852"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五楼配电间</w:t>
            </w:r>
            <w:r/>
          </w:p>
        </w:tc>
      </w:tr>
      <w:tr>
        <w:trPr>
          <w:trHeight w:val="20"/>
        </w:trPr>
        <w:tc>
          <w:tcPr>
            <w:tcW w:w="1266" w:type="dxa"/>
            <w:vAlign w:val="center"/>
            <w:vMerge w:val="restart"/>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度假区法庭</w:t>
            </w:r>
            <w:r/>
          </w:p>
        </w:tc>
        <w:tc>
          <w:tcPr>
            <w:tcW w:w="928" w:type="dxa"/>
            <w:vAlign w:val="center"/>
            <w:textDirection w:val="lrTb"/>
            <w:noWrap/>
          </w:tcPr>
          <w:p>
            <w:pPr>
              <w:jc w:val="cente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三星</w:t>
            </w:r>
            <w:r/>
          </w:p>
        </w:tc>
        <w:tc>
          <w:tcPr>
            <w:tcW w:w="1100"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M3325nd</w:t>
            </w:r>
            <w:r/>
          </w:p>
        </w:tc>
        <w:tc>
          <w:tcPr>
            <w:tcW w:w="2376" w:type="dxa"/>
            <w:vAlign w:val="center"/>
            <w:textDirection w:val="lrTb"/>
            <w:noWrap/>
          </w:tcPr>
          <w:p>
            <w:pPr>
              <w:jc w:val="left"/>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ZD9UB8GJ5A002PR</w:t>
            </w:r>
            <w:r/>
          </w:p>
        </w:tc>
        <w:tc>
          <w:tcPr>
            <w:tcW w:w="2852"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法庭文印室</w:t>
            </w:r>
            <w:r/>
          </w:p>
        </w:tc>
      </w:tr>
      <w:tr>
        <w:trPr>
          <w:trHeight w:val="20"/>
        </w:trPr>
        <w:tc>
          <w:tcPr>
            <w:tcW w:w="1266" w:type="dxa"/>
            <w:vAlign w:val="center"/>
            <w:vMerge w:val="continue"/>
            <w:textDirection w:val="lrTb"/>
            <w:noWrap w:val="false"/>
          </w:tcPr>
          <w:p>
            <w:pPr>
              <w:jc w:val="left"/>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28" w:type="dxa"/>
            <w:vAlign w:val="center"/>
            <w:textDirection w:val="lrTb"/>
            <w:noWrap/>
          </w:tcPr>
          <w:p>
            <w:pPr>
              <w:jc w:val="cente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施乐</w:t>
            </w:r>
            <w:r/>
          </w:p>
        </w:tc>
        <w:tc>
          <w:tcPr>
            <w:tcW w:w="1100"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C3373</w:t>
            </w:r>
            <w:r/>
          </w:p>
        </w:tc>
        <w:tc>
          <w:tcPr>
            <w:tcW w:w="2376" w:type="dxa"/>
            <w:vAlign w:val="center"/>
            <w:textDirection w:val="lrTb"/>
            <w:noWrap/>
          </w:tcPr>
          <w:p>
            <w:pPr>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847383</w:t>
            </w:r>
            <w:r/>
          </w:p>
        </w:tc>
        <w:tc>
          <w:tcPr>
            <w:tcW w:w="2852"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法庭文印室</w:t>
            </w:r>
            <w:r/>
          </w:p>
        </w:tc>
      </w:tr>
      <w:tr>
        <w:trPr>
          <w:trHeight w:val="20"/>
        </w:trPr>
        <w:tc>
          <w:tcPr>
            <w:tcW w:w="1266" w:type="dxa"/>
            <w:vAlign w:val="center"/>
            <w:vMerge w:val="continue"/>
            <w:textDirection w:val="lrTb"/>
            <w:noWrap w:val="false"/>
          </w:tcPr>
          <w:p>
            <w:pPr>
              <w:jc w:val="left"/>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28" w:type="dxa"/>
            <w:vAlign w:val="center"/>
            <w:textDirection w:val="lrTb"/>
            <w:noWrap/>
          </w:tcPr>
          <w:p>
            <w:pPr>
              <w:jc w:val="cente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三星</w:t>
            </w:r>
            <w:r/>
          </w:p>
        </w:tc>
        <w:tc>
          <w:tcPr>
            <w:tcW w:w="1100"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M3325nd</w:t>
            </w:r>
            <w:r/>
          </w:p>
        </w:tc>
        <w:tc>
          <w:tcPr>
            <w:tcW w:w="2376" w:type="dxa"/>
            <w:vAlign w:val="center"/>
            <w:textDirection w:val="lrTb"/>
            <w:noWrap/>
          </w:tcPr>
          <w:p>
            <w:pPr>
              <w:jc w:val="left"/>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ZD9UBJCG8000B2L</w:t>
            </w:r>
            <w:r/>
          </w:p>
        </w:tc>
        <w:tc>
          <w:tcPr>
            <w:tcW w:w="2852"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法庭无纸化办公室</w:t>
            </w:r>
            <w:r/>
          </w:p>
        </w:tc>
      </w:tr>
      <w:tr>
        <w:trPr>
          <w:trHeight w:val="20"/>
        </w:trPr>
        <w:tc>
          <w:tcPr>
            <w:tcW w:w="1266" w:type="dxa"/>
            <w:vAlign w:val="center"/>
            <w:vMerge w:val="restart"/>
            <w:textDirection w:val="lrTb"/>
            <w:noWrap w:val="false"/>
          </w:tcPr>
          <w:p>
            <w:pPr>
              <w:jc w:val="left"/>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w:t>
            </w:r>
            <w:r/>
          </w:p>
        </w:tc>
        <w:tc>
          <w:tcPr>
            <w:tcW w:w="928" w:type="dxa"/>
            <w:vAlign w:val="center"/>
            <w:textDirection w:val="lrTb"/>
            <w:noWrap/>
          </w:tcPr>
          <w:p>
            <w:pPr>
              <w:jc w:val="cente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三星</w:t>
            </w:r>
            <w:r/>
          </w:p>
        </w:tc>
        <w:tc>
          <w:tcPr>
            <w:tcW w:w="1100" w:type="dxa"/>
            <w:vAlign w:val="center"/>
            <w:textDirection w:val="lrTb"/>
            <w:noWrap/>
          </w:tcPr>
          <w:p>
            <w:pPr>
              <w:spacing w:line="276" w:lineRule="auto"/>
              <w:widowControl/>
              <w:rPr>
                <w:rFonts w:hint="eastAsia" w:ascii="宋体" w:hAnsi="宋体" w:cs="宋体"/>
                <w:color w:val="auto"/>
                <w:sz w:val="21"/>
                <w:szCs w:val="21"/>
                <w:highlight w:val="none"/>
              </w:rPr>
            </w:pPr>
            <w:r>
              <w:rPr>
                <w:rFonts w:ascii="宋体" w:hAnsi="宋体" w:cs="宋体"/>
                <w:color w:val="auto"/>
                <w:sz w:val="21"/>
                <w:szCs w:val="21"/>
                <w:highlight w:val="none"/>
              </w:rPr>
              <w:t xml:space="preserve">M3325</w:t>
            </w:r>
            <w:r>
              <w:rPr>
                <w:rFonts w:hint="eastAsia" w:ascii="宋体" w:hAnsi="宋体" w:cs="宋体"/>
                <w:color w:val="auto"/>
                <w:sz w:val="21"/>
                <w:szCs w:val="21"/>
                <w:highlight w:val="none"/>
              </w:rPr>
              <w:t xml:space="preserve">nd</w:t>
            </w:r>
            <w:r/>
          </w:p>
        </w:tc>
        <w:tc>
          <w:tcPr>
            <w:tcW w:w="2376" w:type="dxa"/>
            <w:vAlign w:val="center"/>
            <w:textDirection w:val="lrTb"/>
            <w:noWrap/>
          </w:tcPr>
          <w:p>
            <w:pPr>
              <w:jc w:val="left"/>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ZD9UBJEHC00062B</w:t>
            </w:r>
            <w:r/>
          </w:p>
        </w:tc>
        <w:tc>
          <w:tcPr>
            <w:tcW w:w="2852"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二楼调解室</w:t>
            </w:r>
            <w:r/>
          </w:p>
        </w:tc>
      </w:tr>
      <w:tr>
        <w:trPr>
          <w:trHeight w:val="20"/>
        </w:trPr>
        <w:tc>
          <w:tcPr>
            <w:tcW w:w="1266" w:type="dxa"/>
            <w:vAlign w:val="center"/>
            <w:vMerge w:val="continue"/>
            <w:textDirection w:val="lrTb"/>
            <w:noWrap w:val="false"/>
          </w:tcPr>
          <w:p>
            <w:pPr>
              <w:jc w:val="left"/>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28" w:type="dxa"/>
            <w:vAlign w:val="center"/>
            <w:textDirection w:val="lrTb"/>
            <w:noWrap/>
          </w:tcPr>
          <w:p>
            <w:pPr>
              <w:jc w:val="cente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三星</w:t>
            </w:r>
            <w:r/>
          </w:p>
        </w:tc>
        <w:tc>
          <w:tcPr>
            <w:tcW w:w="1100" w:type="dxa"/>
            <w:vAlign w:val="center"/>
            <w:textDirection w:val="lrTb"/>
            <w:noWrap/>
          </w:tcPr>
          <w:p>
            <w:pPr>
              <w:spacing w:line="276" w:lineRule="auto"/>
              <w:widowControl/>
              <w:rPr>
                <w:rFonts w:hint="eastAsia" w:ascii="宋体" w:hAnsi="宋体" w:cs="宋体"/>
                <w:color w:val="auto"/>
                <w:sz w:val="21"/>
                <w:szCs w:val="21"/>
                <w:highlight w:val="none"/>
              </w:rPr>
            </w:pPr>
            <w:r>
              <w:rPr>
                <w:rFonts w:ascii="宋体" w:hAnsi="宋体" w:cs="宋体"/>
                <w:color w:val="auto"/>
                <w:sz w:val="21"/>
                <w:szCs w:val="21"/>
                <w:highlight w:val="none"/>
              </w:rPr>
              <w:t xml:space="preserve">M3325</w:t>
            </w:r>
            <w:r>
              <w:rPr>
                <w:rFonts w:hint="eastAsia" w:ascii="宋体" w:hAnsi="宋体" w:cs="宋体"/>
                <w:color w:val="auto"/>
                <w:sz w:val="21"/>
                <w:szCs w:val="21"/>
                <w:highlight w:val="none"/>
              </w:rPr>
              <w:t xml:space="preserve">nd</w:t>
            </w:r>
            <w:r/>
          </w:p>
        </w:tc>
        <w:tc>
          <w:tcPr>
            <w:tcW w:w="2376" w:type="dxa"/>
            <w:vAlign w:val="center"/>
            <w:textDirection w:val="lrTb"/>
            <w:noWrap/>
          </w:tcPr>
          <w:p>
            <w:pPr>
              <w:jc w:val="left"/>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ZD9UBJAH500029D</w:t>
            </w:r>
            <w:r/>
          </w:p>
        </w:tc>
        <w:tc>
          <w:tcPr>
            <w:tcW w:w="2852" w:type="dxa"/>
            <w:vAlign w:val="center"/>
            <w:textDirection w:val="lrTb"/>
            <w:noWrap/>
          </w:tcPr>
          <w:p>
            <w:pPr>
              <w:spacing w:line="276"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新楼412法庭办公室</w:t>
            </w:r>
            <w:r/>
          </w:p>
        </w:tc>
      </w:tr>
    </w:tbl>
    <w:p>
      <w:pPr>
        <w:ind w:firstLine="422"/>
        <w:keepLines w:val="0"/>
        <w:keepNext w:val="0"/>
        <w:pageBreakBefore w:val="0"/>
        <w:spacing w:line="360" w:lineRule="auto"/>
        <w:widowControl w:val="off"/>
        <w:rPr>
          <w:rFonts w:hint="eastAsia" w:ascii="宋体" w:hAnsi="宋体"/>
          <w:b/>
          <w:color w:val="auto"/>
          <w:sz w:val="21"/>
          <w:szCs w:val="21"/>
          <w:highlight w:val="none"/>
        </w:rPr>
        <w:outlineLvl w:val="2"/>
      </w:pPr>
      <w:r>
        <w:rPr>
          <w:rFonts w:hint="eastAsia" w:ascii="宋体" w:hAnsi="宋体"/>
          <w:b/>
          <w:color w:val="auto"/>
          <w:sz w:val="21"/>
          <w:szCs w:val="21"/>
          <w:highlight w:val="none"/>
        </w:rPr>
        <w:t xml:space="preserve">（四）服务要求</w:t>
      </w:r>
      <w:r/>
    </w:p>
    <w:p>
      <w:pPr>
        <w:ind w:firstLine="42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电子签章系统的运维要求：</w:t>
      </w:r>
      <w:r/>
    </w:p>
    <w:p>
      <w:pPr>
        <w:ind w:firstLine="42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1、电子签章系统与法院综合管理系统进行数据无缝衔接，数据互连。</w:t>
      </w:r>
      <w:r/>
    </w:p>
    <w:p>
      <w:pPr>
        <w:ind w:firstLine="42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电子签章系统基于PKI体系，具有密钥管理、电子印章管理等功能模块，构建一套完整的签名认证链,遵循国家密码局《安全电子签章系统密码应用技术规范》，符合《中华人民共和国电子签名法》等有关法律的要求，所签电子印章具有法律效力。</w:t>
      </w:r>
      <w:r/>
    </w:p>
    <w:p>
      <w:pPr>
        <w:ind w:firstLine="42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3、电子签章系统必须保证电子文件的完整性、机密性、真实性和不可抵赖性。文件电子签章后所有的文件内容与电子印章加密后一体化，并实现电子文件内容的完整性认证，经过电子签章的文件及资料的任何改动都能被发现。</w:t>
      </w:r>
      <w:r/>
    </w:p>
    <w:p>
      <w:pPr>
        <w:ind w:firstLine="42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电子文件的传递采用数字信封技术，运用Hash算法、RSA非对称加密算法、SM1对称密码算法等进行加密运算，收到加密文件后，验证签名的过程即保证了文件传输的安全性、完整性和不可抵赖性；同时传输的加密文件保证了机密性。系统的加密、解密运算和签名、验证签名过程由系统自动完成。</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4、支持标准格式的数字证书</w:t>
      </w:r>
      <w:r>
        <w:rPr>
          <w:rFonts w:hint="eastAsia" w:ascii="宋体" w:hAnsi="宋体"/>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5</w:t>
      </w:r>
      <w:r>
        <w:rPr>
          <w:rFonts w:hint="eastAsia" w:ascii="宋体" w:hAnsi="宋体"/>
          <w:color w:val="auto"/>
          <w:sz w:val="21"/>
          <w:szCs w:val="21"/>
          <w:highlight w:val="none"/>
        </w:rPr>
        <w:t xml:space="preserve">、电子签章安全性</w:t>
      </w:r>
      <w:r/>
    </w:p>
    <w:p>
      <w:pPr>
        <w:ind w:firstLine="42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在PKI提供的框架中，各种各样的构建、应用、策略等组合起来为网络应用提供认证、访问控制、机密性、完整性和不可抵赖性服务。</w:t>
      </w:r>
      <w:r/>
    </w:p>
    <w:p>
      <w:pPr>
        <w:ind w:firstLine="42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（1）身份认证</w:t>
      </w:r>
      <w:r/>
    </w:p>
    <w:p>
      <w:pPr>
        <w:ind w:firstLine="42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使用由服务器软件系统确认的数字身份，结合对应的私钥，完成对实体的单向或双向身份认证，大大提高了身份认证的安全水平。在系统中，用户通过数字证书确认身份，并根据系统赋予用户的操作权限来验证用户的合法性。</w:t>
      </w:r>
      <w:r/>
    </w:p>
    <w:p>
      <w:pPr>
        <w:ind w:firstLine="42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（2）机密性</w:t>
      </w:r>
      <w:r/>
    </w:p>
    <w:p>
      <w:pPr>
        <w:ind w:firstLine="42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系统使用公钥密码技术对传输在网络上的敏感、机密信息和数据提供信息保密服务。</w:t>
      </w:r>
      <w:r/>
    </w:p>
    <w:p>
      <w:pPr>
        <w:ind w:firstLine="42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客户端与服务器之间的消息通讯，以及电子签章后的电子签章数据和文件，都采用密文传输和存储，传输机制为密码学的数字信封技术，只有接收者才能用自己的私钥打开文件或数据，从而保证了其机密性。</w:t>
      </w:r>
      <w:r/>
    </w:p>
    <w:p>
      <w:pPr>
        <w:ind w:firstLine="42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（3）完整性及不可抵赖性</w:t>
      </w:r>
      <w:r/>
    </w:p>
    <w:p>
      <w:pPr>
        <w:ind w:firstLine="42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采用非对称密码体制，通过数字签名技术，保证电子文件的完整性和不可抵赖性。如果文件被篡改，会导致签名无效；同时签名验证通过后发送方无法进行身份的抵赖。</w:t>
      </w:r>
      <w:r/>
    </w:p>
    <w:p>
      <w:pPr>
        <w:ind w:firstLine="42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安全加密：文件存储和传输时均应经过加密处理，保证涉密数据安全。</w:t>
      </w:r>
      <w:r/>
    </w:p>
    <w:p>
      <w:pPr>
        <w:ind w:firstLine="42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（4）在线验证</w:t>
      </w:r>
      <w:r/>
    </w:p>
    <w:p>
      <w:pPr>
        <w:ind w:firstLine="42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电子签章过程中，需要经过客户端与服务器的双向身份验证，及一系列的权限、有效性验证，包括服务器身份有效性、客户端身份有效性、电子签章者数字证书有效性、电子印章的有效性、电子印章签发者有效性、电子签章的合法性等，只有通过验证，才能执行电子签章或签批，形成电子签章数据。</w:t>
      </w:r>
      <w:r/>
    </w:p>
    <w:p>
      <w:pPr>
        <w:ind w:firstLine="42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（5）用户信息安全存储，用户信息存储在USB-Key中，不能被拷贝，提供PIN码保护功能。电子签章系统须使用USB-Key进行加解密和身份认证，USB-Key须通过国家密码局的审批。</w:t>
      </w:r>
      <w:r/>
    </w:p>
    <w:p>
      <w:pPr>
        <w:ind w:firstLine="42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6）具有严格的用户权限体系，实现用户管理、角色管理、权限分配等功能，保证只有授权的用户才能查看、处理相应的文件。系统使用前对使用者的身份进行必要的双因子安全验证，验证通过后，系统应该具有辨识电子文件签署者身份的功能，根据用户身份设定操作权限，用户不能跨权限操作系统。</w:t>
      </w:r>
      <w:r/>
    </w:p>
    <w:p>
      <w:pPr>
        <w:ind w:firstLine="42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（7）严格的电子印章管理功能，系统对用户进行管理、监督，对电子印章进行整个生命周期的管理，并对所有电子印章实现安全方便的集中管理及对电子印章的使用进行在线控制。</w:t>
      </w:r>
      <w:r/>
    </w:p>
    <w:p>
      <w:pPr>
        <w:ind w:firstLine="42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电子印章的使用，可以临时进行离线授权，由指定人员进行电子签章。</w:t>
      </w:r>
      <w:r/>
    </w:p>
    <w:p>
      <w:pPr>
        <w:ind w:firstLine="42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（8）打印份数控制，一份文件可以多次打印输出，但总份数不得超过审批份数，否则必须申请追加份数；打印输出时可以分奇偶页或双面打印，也可以仅打印盖章页。</w:t>
      </w:r>
      <w:r/>
    </w:p>
    <w:p>
      <w:pPr>
        <w:ind w:firstLine="42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（9）支持多章功能，即在一份文件上，可以加盖多枚电子印章。支持单只USB-Key存储多枚电子印章，节省成本。</w:t>
      </w:r>
      <w:r/>
    </w:p>
    <w:p>
      <w:pPr>
        <w:ind w:firstLine="42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0</w:t>
      </w:r>
      <w:r>
        <w:rPr>
          <w:rFonts w:hint="eastAsia" w:ascii="宋体" w:hAnsi="宋体"/>
          <w:color w:val="auto"/>
          <w:sz w:val="21"/>
          <w:szCs w:val="21"/>
          <w:highlight w:val="none"/>
        </w:rPr>
        <w:t xml:space="preserve">）电子签章系统设计构架，持多级密钥、用户安全体系的统一管理模式，支持电子签章后文件的统一认证。</w:t>
      </w:r>
      <w:r/>
    </w:p>
    <w:p>
      <w:pPr>
        <w:ind w:firstLine="42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）电子签章系统具有良好的扩展性和高度的稳定性，具有标准、规范的软件接口。</w:t>
      </w:r>
      <w:r/>
    </w:p>
    <w:p>
      <w:pPr>
        <w:ind w:firstLine="42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2</w:t>
      </w:r>
      <w:r>
        <w:rPr>
          <w:rFonts w:hint="eastAsia" w:ascii="宋体" w:hAnsi="宋体"/>
          <w:color w:val="auto"/>
          <w:sz w:val="21"/>
          <w:szCs w:val="21"/>
          <w:highlight w:val="none"/>
        </w:rPr>
        <w:t xml:space="preserve">）电子签章系统包括密钥管理中心、电子印章管理系统、电子签章客户端以及相应的密码加密设备(USB-Key)等。</w:t>
      </w:r>
      <w:r/>
    </w:p>
    <w:p>
      <w:pPr>
        <w:ind w:firstLine="422"/>
        <w:keepLines w:val="0"/>
        <w:keepNext w:val="0"/>
        <w:pageBreakBefore w:val="0"/>
        <w:spacing w:line="360" w:lineRule="auto"/>
        <w:widowControl w:val="off"/>
        <w:rPr>
          <w:rFonts w:hint="eastAsia" w:ascii="宋体" w:hAnsi="宋体"/>
          <w:b/>
          <w:color w:val="auto"/>
          <w:sz w:val="21"/>
          <w:szCs w:val="21"/>
          <w:highlight w:val="none"/>
        </w:rPr>
        <w:outlineLvl w:val="2"/>
      </w:pPr>
      <w:r/>
      <w:bookmarkStart w:id="6" w:name="_Toc3794307"/>
      <w:r>
        <w:rPr>
          <w:rFonts w:hint="eastAsia" w:ascii="宋体" w:hAnsi="宋体"/>
          <w:b/>
          <w:color w:val="auto"/>
          <w:sz w:val="21"/>
          <w:szCs w:val="21"/>
          <w:highlight w:val="none"/>
        </w:rPr>
        <w:t xml:space="preserve">（五）项目</w:t>
      </w:r>
      <w:bookmarkEnd w:id="6"/>
      <w:r>
        <w:rPr>
          <w:rFonts w:hint="eastAsia" w:ascii="宋体" w:hAnsi="宋体"/>
          <w:b/>
          <w:color w:val="auto"/>
          <w:sz w:val="21"/>
          <w:szCs w:val="21"/>
          <w:highlight w:val="none"/>
        </w:rPr>
        <w:t xml:space="preserve">服务保障要求</w:t>
      </w:r>
      <w:r/>
    </w:p>
    <w:p>
      <w:pPr>
        <w:ind w:firstLine="422"/>
        <w:jc w:val="left"/>
        <w:keepLines w:val="0"/>
        <w:keepNext w:val="0"/>
        <w:pageBreakBefore w:val="0"/>
        <w:spacing w:line="360" w:lineRule="auto"/>
        <w:widowControl w:val="off"/>
        <w:rPr>
          <w:rFonts w:hint="eastAsia" w:ascii="宋体" w:hAnsi="宋体"/>
          <w:b/>
          <w:color w:val="auto"/>
          <w:sz w:val="21"/>
          <w:szCs w:val="21"/>
          <w:highlight w:val="none"/>
        </w:rPr>
      </w:pPr>
      <w:r>
        <w:rPr>
          <w:rFonts w:hint="eastAsia" w:ascii="宋体" w:hAnsi="宋体"/>
          <w:b/>
          <w:color w:val="auto"/>
          <w:sz w:val="21"/>
          <w:szCs w:val="21"/>
          <w:highlight w:val="none"/>
        </w:rPr>
        <w:t xml:space="preserve">1、项目实施要求</w:t>
      </w:r>
      <w:r/>
    </w:p>
    <w:p>
      <w:pPr>
        <w:ind w:firstLine="420"/>
        <w:keepLines w:val="0"/>
        <w:keepNext w:val="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实施团队要求</w:t>
      </w:r>
      <w:r/>
    </w:p>
    <w:p>
      <w:pPr>
        <w:ind w:firstLine="42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为能保证在规定时间内完成项目实施工作，要求供应商针对本项目配备实施团队，具体要求如下：</w:t>
      </w:r>
      <w:r/>
    </w:p>
    <w:p>
      <w:pPr>
        <w:ind w:firstLine="42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指定</w:t>
      </w:r>
      <w:r>
        <w:rPr>
          <w:rFonts w:ascii="宋体" w:hAnsi="宋体"/>
          <w:color w:val="auto"/>
          <w:sz w:val="21"/>
          <w:szCs w:val="21"/>
          <w:highlight w:val="none"/>
        </w:rPr>
        <w:t xml:space="preserve">1</w:t>
      </w:r>
      <w:r>
        <w:rPr>
          <w:rFonts w:hint="eastAsia" w:ascii="宋体" w:hAnsi="宋体"/>
          <w:color w:val="auto"/>
          <w:sz w:val="21"/>
          <w:szCs w:val="21"/>
          <w:highlight w:val="none"/>
        </w:rPr>
        <w:t xml:space="preserve">人作为项目经理，负责跟踪推进项目工作和问题的协调落实；要求具备信息系统、系统规划、项目管理等方面的技术专业，具有相关工作管理经验；指定</w:t>
      </w:r>
      <w:r>
        <w:rPr>
          <w:rFonts w:ascii="宋体" w:hAnsi="宋体"/>
          <w:color w:val="auto"/>
          <w:sz w:val="21"/>
          <w:szCs w:val="21"/>
          <w:highlight w:val="none"/>
        </w:rPr>
        <w:t xml:space="preserve">1</w:t>
      </w:r>
      <w:r>
        <w:rPr>
          <w:rFonts w:hint="eastAsia" w:ascii="宋体" w:hAnsi="宋体"/>
          <w:color w:val="auto"/>
          <w:sz w:val="21"/>
          <w:szCs w:val="21"/>
          <w:highlight w:val="none"/>
        </w:rPr>
        <w:t xml:space="preserve">人作为项目技术负责人，负责项目技术支撑；要求具备</w:t>
      </w:r>
      <w:r>
        <w:rPr>
          <w:rFonts w:hint="eastAsia" w:ascii="宋体" w:hAnsi="宋体" w:cs="宋体"/>
          <w:color w:val="auto"/>
          <w:sz w:val="21"/>
          <w:szCs w:val="21"/>
          <w:highlight w:val="none"/>
        </w:rPr>
        <w:t xml:space="preserve">IT项目服务</w:t>
      </w:r>
      <w:r>
        <w:rPr>
          <w:rFonts w:hint="eastAsia" w:ascii="宋体" w:hAnsi="宋体"/>
          <w:color w:val="auto"/>
          <w:sz w:val="21"/>
          <w:szCs w:val="21"/>
          <w:highlight w:val="none"/>
        </w:rPr>
        <w:t xml:space="preserve">、</w:t>
      </w:r>
      <w:r>
        <w:rPr>
          <w:rFonts w:hint="eastAsia" w:ascii="宋体" w:hAnsi="宋体" w:cs="宋体"/>
          <w:color w:val="auto"/>
          <w:sz w:val="21"/>
          <w:szCs w:val="21"/>
          <w:highlight w:val="none"/>
        </w:rPr>
        <w:t xml:space="preserve">信息安全</w:t>
      </w:r>
      <w:r>
        <w:rPr>
          <w:rFonts w:hint="eastAsia" w:ascii="宋体" w:hAnsi="宋体"/>
          <w:color w:val="auto"/>
          <w:sz w:val="21"/>
          <w:szCs w:val="21"/>
          <w:highlight w:val="none"/>
        </w:rPr>
        <w:t xml:space="preserve">等方面的技术专业；除项目经理外其他项目实施成员配备不少于</w:t>
      </w:r>
      <w:r>
        <w:rPr>
          <w:rFonts w:ascii="宋体" w:hAnsi="宋体"/>
          <w:color w:val="auto"/>
          <w:sz w:val="21"/>
          <w:szCs w:val="21"/>
          <w:highlight w:val="none"/>
        </w:rPr>
        <w:t xml:space="preserve">4</w:t>
      </w:r>
      <w:r>
        <w:rPr>
          <w:rFonts w:hint="eastAsia" w:ascii="宋体" w:hAnsi="宋体"/>
          <w:color w:val="auto"/>
          <w:sz w:val="21"/>
          <w:szCs w:val="21"/>
          <w:highlight w:val="none"/>
        </w:rPr>
        <w:t xml:space="preserve">人，能够顺利开展项目实施工作。</w:t>
      </w:r>
      <w:r/>
    </w:p>
    <w:p>
      <w:pPr>
        <w:ind w:firstLine="42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供应商应本着认真负责的态度组织项目团队，响应文件中的项目组主要成员名单，在成交后不经采购人允许不得随意更改。</w:t>
      </w:r>
      <w:r/>
    </w:p>
    <w:p>
      <w:pPr>
        <w:ind w:firstLine="422"/>
        <w:jc w:val="left"/>
        <w:keepLines w:val="0"/>
        <w:keepNext w:val="0"/>
        <w:pageBreakBefore w:val="0"/>
        <w:spacing w:line="360" w:lineRule="auto"/>
        <w:widowControl w:val="off"/>
        <w:rPr>
          <w:rFonts w:hint="eastAsia" w:ascii="宋体" w:hAnsi="宋体"/>
          <w:b/>
          <w:color w:val="auto"/>
          <w:sz w:val="21"/>
          <w:szCs w:val="21"/>
          <w:highlight w:val="none"/>
        </w:rPr>
      </w:pPr>
      <w:r>
        <w:rPr>
          <w:rFonts w:hint="eastAsia" w:ascii="宋体" w:hAnsi="宋体"/>
          <w:b/>
          <w:color w:val="auto"/>
          <w:sz w:val="21"/>
          <w:szCs w:val="21"/>
          <w:highlight w:val="none"/>
        </w:rPr>
        <w:t xml:space="preserve">2、文印设备日常管理及维护：</w:t>
      </w:r>
      <w:r/>
    </w:p>
    <w:p>
      <w:pPr>
        <w:ind w:firstLine="42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（1）有效利用已有的XOA-E &amp; XOA- Web 组合平台，进行XOA用户身份认证管理及嵌入式数据安全管理软件的使用维护。实现SecuThre便捷漫游打印（不额外加装服务器），提升文档安全性，监控并降低办公成本，使用设备匹配的SecLoginManager保护用户数据和设备安全。</w:t>
      </w:r>
      <w:r/>
    </w:p>
    <w:p>
      <w:pPr>
        <w:ind w:firstLine="42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2</w:t>
      </w:r>
      <w:r>
        <w:rPr>
          <w:rFonts w:hint="eastAsia" w:ascii="宋体" w:hAnsi="宋体"/>
          <w:color w:val="auto"/>
          <w:sz w:val="21"/>
          <w:szCs w:val="21"/>
          <w:highlight w:val="none"/>
        </w:rPr>
        <w:t xml:space="preserve">）为确保法院法律文书输出工作的正常运行，成交供应商须提供彩色文印设备含装订功能不少于十台作为备用机，功能要求：双面打印/双面复印/双面扫描，黑白彩色同速不低于50页/分钟，并与本项目中的其它文印设备能相兼容进行电子签章的使用，保密输出及漫游打印，以避免影响法院各部门协同配合工作。备用设备需能进行XOA用户身份认证管理及兼容本项目中其它文印设备（</w:t>
      </w:r>
      <w:r>
        <w:rPr>
          <w:rFonts w:hint="eastAsia" w:ascii="宋体" w:hAnsi="宋体"/>
          <w:b/>
          <w:bCs/>
          <w:color w:val="auto"/>
          <w:sz w:val="21"/>
          <w:szCs w:val="21"/>
          <w:highlight w:val="none"/>
        </w:rPr>
        <w:t xml:space="preserve">供应商需提供备用机及满足以上功能要求做出承诺并同时列明备用机的品牌型号，否则视为无效响应</w:t>
      </w:r>
      <w:r>
        <w:rPr>
          <w:rFonts w:hint="eastAsia" w:ascii="宋体" w:hAnsi="宋体"/>
          <w:color w:val="auto"/>
          <w:sz w:val="21"/>
          <w:szCs w:val="21"/>
          <w:highlight w:val="none"/>
        </w:rPr>
        <w:t xml:space="preserve">，相关使用费用计入响应报价中，甲方不另行支付）。技术人员在两小时内无法将设备修复至正常使用时，将备用设备投入使用直至原设备修复。</w:t>
      </w:r>
      <w:r/>
    </w:p>
    <w:p>
      <w:pPr>
        <w:ind w:firstLine="42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注：成交供应商维保服务期间，涉及到更换设备的硬盘等存储部件，以及合同期结束时备用机的硬盘等存储部件，因涉及法院数据安全保密，需交由法院统一保留处置，供应商须将此费用一并计入。</w:t>
      </w:r>
      <w:r/>
    </w:p>
    <w:p>
      <w:pPr>
        <w:ind w:firstLine="42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3</w:t>
      </w:r>
      <w:r>
        <w:rPr>
          <w:rFonts w:hint="eastAsia" w:ascii="宋体" w:hAnsi="宋体"/>
          <w:color w:val="auto"/>
          <w:sz w:val="21"/>
          <w:szCs w:val="21"/>
          <w:highlight w:val="none"/>
        </w:rPr>
        <w:t xml:space="preserve">）成交供应商于合同签订后3日内安排技术人员到位，对设备软硬件进行确认，完成法院法律文书电子签章及文印设备全包服务交接工作。固定技术人员工作时间同甲方上班时间（周一至周五9：00-17：00），如遇加班须积极配合。成交供应商必须严格按照甲方的规章制度，并且签订相关保密协议。</w:t>
      </w:r>
      <w:r/>
    </w:p>
    <w:p>
      <w:pPr>
        <w:ind w:firstLine="42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4</w:t>
      </w:r>
      <w:r>
        <w:rPr>
          <w:rFonts w:hint="eastAsia" w:ascii="宋体" w:hAnsi="宋体"/>
          <w:color w:val="auto"/>
          <w:sz w:val="21"/>
          <w:szCs w:val="21"/>
          <w:highlight w:val="none"/>
        </w:rPr>
        <w:t xml:space="preserve">）成交供应商于合同签订后3日内将备用机及每一台文印设备所对应型号的耗材、纸张、易损配件及其他零件按照以下表格说明提供到采购人指定地点。</w:t>
      </w:r>
      <w:r/>
    </w:p>
    <w:tbl>
      <w:tblPr>
        <w:tblStyle w:val="72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94"/>
        <w:gridCol w:w="2900"/>
        <w:gridCol w:w="1794"/>
        <w:gridCol w:w="2900"/>
      </w:tblGrid>
      <w:tr>
        <w:trPr>
          <w:jc w:val="center"/>
          <w:trHeight w:val="20"/>
        </w:trPr>
        <w:tc>
          <w:tcPr>
            <w:tcW w:w="912" w:type="pct"/>
            <w:vAlign w:val="center"/>
            <w:textDirection w:val="lrTb"/>
            <w:noWrap w:val="false"/>
          </w:tcPr>
          <w:p>
            <w:pPr>
              <w:jc w:val="center"/>
              <w:spacing w:line="276" w:lineRule="auto"/>
              <w:rPr>
                <w:rFonts w:hint="eastAsia" w:ascii="宋体" w:hAnsi="宋体"/>
                <w:color w:val="auto"/>
                <w:sz w:val="21"/>
                <w:szCs w:val="21"/>
                <w:highlight w:val="none"/>
              </w:rPr>
            </w:pPr>
            <w:r>
              <w:rPr>
                <w:rFonts w:hint="eastAsia" w:ascii="宋体" w:hAnsi="宋体"/>
                <w:color w:val="auto"/>
                <w:sz w:val="21"/>
                <w:szCs w:val="21"/>
                <w:highlight w:val="none"/>
              </w:rPr>
              <w:t xml:space="preserve">名称</w:t>
            </w:r>
            <w:r/>
          </w:p>
        </w:tc>
        <w:tc>
          <w:tcPr>
            <w:tcW w:w="1561" w:type="pct"/>
            <w:vAlign w:val="center"/>
            <w:textDirection w:val="lrTb"/>
            <w:noWrap w:val="false"/>
          </w:tcPr>
          <w:p>
            <w:pPr>
              <w:jc w:val="center"/>
              <w:spacing w:line="276" w:lineRule="auto"/>
              <w:rPr>
                <w:rFonts w:hint="eastAsia" w:ascii="宋体" w:hAnsi="宋体"/>
                <w:color w:val="auto"/>
                <w:sz w:val="21"/>
                <w:szCs w:val="21"/>
                <w:highlight w:val="none"/>
              </w:rPr>
            </w:pPr>
            <w:r>
              <w:rPr>
                <w:rFonts w:hint="eastAsia" w:ascii="宋体" w:hAnsi="宋体"/>
                <w:color w:val="auto"/>
                <w:sz w:val="21"/>
                <w:szCs w:val="21"/>
                <w:highlight w:val="none"/>
              </w:rPr>
              <w:t xml:space="preserve">具体内容</w:t>
            </w:r>
            <w:r/>
          </w:p>
        </w:tc>
        <w:tc>
          <w:tcPr>
            <w:tcW w:w="966" w:type="pct"/>
            <w:vAlign w:val="center"/>
            <w:textDirection w:val="lrTb"/>
            <w:noWrap w:val="false"/>
          </w:tcPr>
          <w:p>
            <w:pPr>
              <w:jc w:val="center"/>
              <w:spacing w:line="276" w:lineRule="auto"/>
              <w:rPr>
                <w:rFonts w:hint="eastAsia" w:ascii="宋体" w:hAnsi="宋体"/>
                <w:color w:val="auto"/>
                <w:sz w:val="21"/>
                <w:szCs w:val="21"/>
                <w:highlight w:val="none"/>
              </w:rPr>
            </w:pPr>
            <w:r>
              <w:rPr>
                <w:rFonts w:hint="eastAsia" w:ascii="宋体" w:hAnsi="宋体"/>
                <w:color w:val="auto"/>
                <w:sz w:val="21"/>
                <w:szCs w:val="21"/>
                <w:highlight w:val="none"/>
              </w:rPr>
              <w:t xml:space="preserve">要求</w:t>
            </w:r>
            <w:r/>
          </w:p>
        </w:tc>
        <w:tc>
          <w:tcPr>
            <w:tcW w:w="1561" w:type="pct"/>
            <w:vAlign w:val="center"/>
            <w:textDirection w:val="lrTb"/>
            <w:noWrap w:val="false"/>
          </w:tcPr>
          <w:p>
            <w:pPr>
              <w:jc w:val="center"/>
              <w:spacing w:line="276" w:lineRule="auto"/>
              <w:rPr>
                <w:rFonts w:hint="eastAsia" w:ascii="宋体" w:hAnsi="宋体"/>
                <w:color w:val="auto"/>
                <w:sz w:val="21"/>
                <w:szCs w:val="21"/>
                <w:highlight w:val="none"/>
              </w:rPr>
            </w:pPr>
            <w:r>
              <w:rPr>
                <w:rFonts w:hint="eastAsia" w:ascii="宋体" w:hAnsi="宋体"/>
                <w:color w:val="auto"/>
                <w:sz w:val="21"/>
                <w:szCs w:val="21"/>
                <w:highlight w:val="none"/>
              </w:rPr>
              <w:t xml:space="preserve">说明</w:t>
            </w:r>
            <w:r/>
          </w:p>
        </w:tc>
      </w:tr>
      <w:tr>
        <w:trPr>
          <w:jc w:val="center"/>
          <w:trHeight w:val="20"/>
        </w:trPr>
        <w:tc>
          <w:tcPr>
            <w:tcW w:w="912" w:type="pct"/>
            <w:vAlign w:val="center"/>
            <w:textDirection w:val="lrTb"/>
            <w:noWrap w:val="false"/>
          </w:tcPr>
          <w:p>
            <w:pPr>
              <w:spacing w:line="276" w:lineRule="auto"/>
              <w:rPr>
                <w:rFonts w:hint="eastAsia" w:ascii="宋体" w:hAnsi="宋体"/>
                <w:color w:val="auto"/>
                <w:sz w:val="21"/>
                <w:szCs w:val="21"/>
                <w:highlight w:val="none"/>
              </w:rPr>
            </w:pPr>
            <w:r>
              <w:rPr>
                <w:rFonts w:hint="eastAsia" w:ascii="宋体" w:hAnsi="宋体"/>
                <w:color w:val="auto"/>
                <w:sz w:val="21"/>
                <w:szCs w:val="21"/>
                <w:highlight w:val="none"/>
              </w:rPr>
              <w:t xml:space="preserve">消耗品（耗材）</w:t>
            </w:r>
            <w:r/>
          </w:p>
        </w:tc>
        <w:tc>
          <w:tcPr>
            <w:tcW w:w="1561" w:type="pct"/>
            <w:vAlign w:val="center"/>
            <w:textDirection w:val="lrTb"/>
            <w:noWrap w:val="false"/>
          </w:tcPr>
          <w:p>
            <w:pPr>
              <w:spacing w:line="276" w:lineRule="auto"/>
              <w:rPr>
                <w:rFonts w:hint="eastAsia" w:ascii="宋体" w:hAnsi="宋体"/>
                <w:color w:val="auto"/>
                <w:sz w:val="21"/>
                <w:szCs w:val="21"/>
                <w:highlight w:val="none"/>
              </w:rPr>
            </w:pPr>
            <w:r>
              <w:rPr>
                <w:rFonts w:hint="eastAsia" w:ascii="宋体" w:hAnsi="宋体"/>
                <w:color w:val="auto"/>
                <w:sz w:val="21"/>
                <w:szCs w:val="21"/>
                <w:highlight w:val="none"/>
              </w:rPr>
              <w:t xml:space="preserve">4色墨粉，4色感光鼓，转印组件，定影组件，废粉盒。</w:t>
            </w:r>
            <w:r/>
          </w:p>
        </w:tc>
        <w:tc>
          <w:tcPr>
            <w:tcW w:w="966" w:type="pct"/>
            <w:vAlign w:val="center"/>
            <w:textDirection w:val="lrTb"/>
            <w:noWrap w:val="false"/>
          </w:tcPr>
          <w:p>
            <w:pPr>
              <w:spacing w:line="276" w:lineRule="auto"/>
              <w:rPr>
                <w:rFonts w:hint="eastAsia" w:ascii="宋体" w:hAnsi="宋体"/>
                <w:color w:val="auto"/>
                <w:sz w:val="21"/>
                <w:szCs w:val="21"/>
                <w:highlight w:val="none"/>
              </w:rPr>
            </w:pPr>
            <w:r>
              <w:rPr>
                <w:rFonts w:hint="eastAsia" w:ascii="宋体" w:hAnsi="宋体"/>
                <w:color w:val="auto"/>
                <w:sz w:val="21"/>
                <w:szCs w:val="21"/>
                <w:highlight w:val="none"/>
              </w:rPr>
              <w:t xml:space="preserve">每台设备须常备一套</w:t>
            </w:r>
            <w:r/>
          </w:p>
        </w:tc>
        <w:tc>
          <w:tcPr>
            <w:tcW w:w="1561" w:type="pct"/>
            <w:vAlign w:val="center"/>
            <w:textDirection w:val="lrTb"/>
            <w:noWrap w:val="false"/>
          </w:tcPr>
          <w:p>
            <w:pPr>
              <w:spacing w:line="276" w:lineRule="auto"/>
              <w:rPr>
                <w:rFonts w:hint="eastAsia" w:ascii="宋体" w:hAnsi="宋体"/>
                <w:color w:val="auto"/>
                <w:sz w:val="21"/>
                <w:szCs w:val="21"/>
                <w:highlight w:val="none"/>
              </w:rPr>
            </w:pPr>
            <w:r>
              <w:rPr>
                <w:rFonts w:hint="eastAsia" w:ascii="宋体" w:hAnsi="宋体"/>
                <w:color w:val="auto"/>
                <w:sz w:val="21"/>
                <w:szCs w:val="21"/>
                <w:highlight w:val="none"/>
              </w:rPr>
              <w:t xml:space="preserve">技术人员负责及时更换（2日内补足库存）</w:t>
            </w:r>
            <w:r/>
          </w:p>
        </w:tc>
      </w:tr>
      <w:tr>
        <w:trPr>
          <w:jc w:val="center"/>
          <w:trHeight w:val="20"/>
        </w:trPr>
        <w:tc>
          <w:tcPr>
            <w:tcW w:w="912" w:type="pct"/>
            <w:vAlign w:val="center"/>
            <w:textDirection w:val="lrTb"/>
            <w:noWrap w:val="false"/>
          </w:tcPr>
          <w:p>
            <w:pPr>
              <w:spacing w:line="276" w:lineRule="auto"/>
              <w:rPr>
                <w:rFonts w:hint="eastAsia" w:ascii="宋体" w:hAnsi="宋体"/>
                <w:color w:val="auto"/>
                <w:sz w:val="21"/>
                <w:szCs w:val="21"/>
                <w:highlight w:val="none"/>
              </w:rPr>
            </w:pPr>
            <w:r>
              <w:rPr>
                <w:rFonts w:hint="eastAsia" w:ascii="宋体" w:hAnsi="宋体"/>
                <w:color w:val="auto"/>
                <w:sz w:val="21"/>
                <w:szCs w:val="21"/>
                <w:highlight w:val="none"/>
              </w:rPr>
              <w:t xml:space="preserve">消耗性零件（易损配件）</w:t>
            </w:r>
            <w:r/>
          </w:p>
        </w:tc>
        <w:tc>
          <w:tcPr>
            <w:tcW w:w="1561" w:type="pct"/>
            <w:vAlign w:val="center"/>
            <w:textDirection w:val="lrTb"/>
            <w:noWrap w:val="false"/>
          </w:tcPr>
          <w:p>
            <w:pPr>
              <w:spacing w:line="276" w:lineRule="auto"/>
              <w:rPr>
                <w:rFonts w:hint="eastAsia" w:ascii="宋体" w:hAnsi="宋体"/>
                <w:color w:val="auto"/>
                <w:sz w:val="21"/>
                <w:szCs w:val="21"/>
                <w:highlight w:val="none"/>
              </w:rPr>
            </w:pPr>
            <w:r>
              <w:rPr>
                <w:rFonts w:hint="eastAsia" w:ascii="宋体" w:hAnsi="宋体"/>
                <w:color w:val="auto"/>
                <w:sz w:val="21"/>
                <w:szCs w:val="21"/>
                <w:highlight w:val="none"/>
              </w:rPr>
              <w:t xml:space="preserve">搓纸轮，分页器，传输卷，4色显影器，4色载体</w:t>
            </w:r>
            <w:r/>
          </w:p>
        </w:tc>
        <w:tc>
          <w:tcPr>
            <w:tcW w:w="966" w:type="pct"/>
            <w:vAlign w:val="center"/>
            <w:textDirection w:val="lrTb"/>
            <w:noWrap w:val="false"/>
          </w:tcPr>
          <w:p>
            <w:pPr>
              <w:spacing w:line="276" w:lineRule="auto"/>
              <w:rPr>
                <w:rFonts w:hint="eastAsia" w:ascii="宋体" w:hAnsi="宋体"/>
                <w:color w:val="auto"/>
                <w:sz w:val="21"/>
                <w:szCs w:val="21"/>
                <w:highlight w:val="none"/>
              </w:rPr>
            </w:pPr>
            <w:r>
              <w:rPr>
                <w:rFonts w:hint="eastAsia" w:ascii="宋体" w:hAnsi="宋体"/>
                <w:color w:val="auto"/>
                <w:sz w:val="21"/>
                <w:szCs w:val="21"/>
                <w:highlight w:val="none"/>
              </w:rPr>
              <w:t xml:space="preserve">每款型号须常备一套</w:t>
            </w:r>
            <w:r/>
          </w:p>
        </w:tc>
        <w:tc>
          <w:tcPr>
            <w:tcW w:w="1561" w:type="pct"/>
            <w:vAlign w:val="center"/>
            <w:textDirection w:val="lrTb"/>
            <w:noWrap w:val="false"/>
          </w:tcPr>
          <w:p>
            <w:pPr>
              <w:spacing w:line="276" w:lineRule="auto"/>
              <w:rPr>
                <w:rFonts w:hint="eastAsia" w:ascii="宋体" w:hAnsi="宋体"/>
                <w:color w:val="auto"/>
                <w:sz w:val="21"/>
                <w:szCs w:val="21"/>
                <w:highlight w:val="none"/>
              </w:rPr>
            </w:pPr>
            <w:r>
              <w:rPr>
                <w:rFonts w:hint="eastAsia" w:ascii="宋体" w:hAnsi="宋体"/>
                <w:color w:val="auto"/>
                <w:sz w:val="21"/>
                <w:szCs w:val="21"/>
                <w:highlight w:val="none"/>
              </w:rPr>
              <w:t xml:space="preserve">技术人员负责及时更换（2日内补足库存）</w:t>
            </w:r>
            <w:r/>
          </w:p>
        </w:tc>
      </w:tr>
      <w:tr>
        <w:trPr>
          <w:jc w:val="center"/>
          <w:trHeight w:val="20"/>
        </w:trPr>
        <w:tc>
          <w:tcPr>
            <w:tcW w:w="912" w:type="pct"/>
            <w:vAlign w:val="center"/>
            <w:textDirection w:val="lrTb"/>
            <w:noWrap w:val="false"/>
          </w:tcPr>
          <w:p>
            <w:pPr>
              <w:spacing w:line="276" w:lineRule="auto"/>
              <w:rPr>
                <w:rFonts w:hint="eastAsia" w:ascii="宋体" w:hAnsi="宋体"/>
                <w:color w:val="auto"/>
                <w:sz w:val="21"/>
                <w:szCs w:val="21"/>
                <w:highlight w:val="none"/>
              </w:rPr>
            </w:pPr>
            <w:r>
              <w:rPr>
                <w:rFonts w:hint="eastAsia" w:ascii="宋体" w:hAnsi="宋体"/>
                <w:color w:val="auto"/>
                <w:sz w:val="21"/>
                <w:szCs w:val="21"/>
                <w:highlight w:val="none"/>
              </w:rPr>
              <w:t xml:space="preserve">其它零件（非易损件）</w:t>
            </w:r>
            <w:r/>
          </w:p>
        </w:tc>
        <w:tc>
          <w:tcPr>
            <w:tcW w:w="1561" w:type="pct"/>
            <w:vAlign w:val="center"/>
            <w:textDirection w:val="lrTb"/>
            <w:noWrap w:val="false"/>
          </w:tcPr>
          <w:p>
            <w:pPr>
              <w:spacing w:line="276" w:lineRule="auto"/>
              <w:rPr>
                <w:rFonts w:hint="eastAsia" w:ascii="宋体" w:hAnsi="宋体"/>
                <w:color w:val="auto"/>
                <w:sz w:val="21"/>
                <w:szCs w:val="21"/>
                <w:highlight w:val="none"/>
              </w:rPr>
            </w:pPr>
            <w:r>
              <w:rPr>
                <w:rFonts w:hint="eastAsia" w:ascii="宋体" w:hAnsi="宋体"/>
                <w:color w:val="auto"/>
                <w:sz w:val="21"/>
                <w:szCs w:val="21"/>
                <w:highlight w:val="none"/>
              </w:rPr>
              <w:t xml:space="preserve">扫描组件，主驱动电机，驱动齿轮组，抬纸电机，进纸离合器，对位离合器等</w:t>
            </w:r>
            <w:r/>
          </w:p>
        </w:tc>
        <w:tc>
          <w:tcPr>
            <w:tcW w:w="966" w:type="pct"/>
            <w:vAlign w:val="center"/>
            <w:textDirection w:val="lrTb"/>
            <w:noWrap w:val="false"/>
          </w:tcPr>
          <w:p>
            <w:pPr>
              <w:spacing w:line="276" w:lineRule="auto"/>
              <w:rPr>
                <w:rFonts w:hint="eastAsia" w:ascii="宋体" w:hAnsi="宋体"/>
                <w:color w:val="auto"/>
                <w:sz w:val="21"/>
                <w:szCs w:val="21"/>
                <w:highlight w:val="none"/>
              </w:rPr>
            </w:pPr>
            <w:r>
              <w:rPr>
                <w:rFonts w:hint="eastAsia" w:ascii="宋体" w:hAnsi="宋体"/>
                <w:color w:val="auto"/>
                <w:sz w:val="21"/>
                <w:szCs w:val="21"/>
                <w:highlight w:val="none"/>
              </w:rPr>
              <w:t xml:space="preserve">根据具体情况备货</w:t>
            </w:r>
            <w:r/>
          </w:p>
        </w:tc>
        <w:tc>
          <w:tcPr>
            <w:tcW w:w="1561" w:type="pct"/>
            <w:vAlign w:val="center"/>
            <w:textDirection w:val="lrTb"/>
            <w:noWrap w:val="false"/>
          </w:tcPr>
          <w:p>
            <w:pPr>
              <w:spacing w:line="276" w:lineRule="auto"/>
              <w:rPr>
                <w:rFonts w:hint="eastAsia" w:ascii="宋体" w:hAnsi="宋体"/>
                <w:color w:val="auto"/>
                <w:sz w:val="21"/>
                <w:szCs w:val="21"/>
                <w:highlight w:val="none"/>
              </w:rPr>
            </w:pPr>
            <w:r>
              <w:rPr>
                <w:rFonts w:hint="eastAsia" w:ascii="宋体" w:hAnsi="宋体"/>
                <w:color w:val="auto"/>
                <w:sz w:val="21"/>
                <w:szCs w:val="21"/>
                <w:highlight w:val="none"/>
              </w:rPr>
              <w:t xml:space="preserve">技术人员及时反馈，成交供应商2日内订配件修复，超时需提供软硬件兼容且性能相当的设备。</w:t>
            </w:r>
            <w:r/>
          </w:p>
        </w:tc>
      </w:tr>
      <w:tr>
        <w:trPr>
          <w:jc w:val="center"/>
          <w:trHeight w:val="20"/>
        </w:trPr>
        <w:tc>
          <w:tcPr>
            <w:tcW w:w="912" w:type="pct"/>
            <w:vAlign w:val="center"/>
            <w:textDirection w:val="lrTb"/>
            <w:noWrap w:val="false"/>
          </w:tcPr>
          <w:p>
            <w:pPr>
              <w:spacing w:line="276" w:lineRule="auto"/>
              <w:rPr>
                <w:rFonts w:hint="eastAsia" w:ascii="宋体" w:hAnsi="宋体"/>
                <w:color w:val="auto"/>
                <w:sz w:val="21"/>
                <w:szCs w:val="21"/>
                <w:highlight w:val="none"/>
              </w:rPr>
            </w:pPr>
            <w:r>
              <w:rPr>
                <w:rFonts w:hint="eastAsia" w:ascii="宋体" w:hAnsi="宋体"/>
                <w:color w:val="auto"/>
                <w:sz w:val="21"/>
                <w:szCs w:val="21"/>
                <w:highlight w:val="none"/>
              </w:rPr>
              <w:t xml:space="preserve">纸张</w:t>
            </w:r>
            <w:r/>
          </w:p>
        </w:tc>
        <w:tc>
          <w:tcPr>
            <w:tcW w:w="1561" w:type="pct"/>
            <w:vAlign w:val="center"/>
            <w:textDirection w:val="lrTb"/>
            <w:noWrap w:val="false"/>
          </w:tcPr>
          <w:p>
            <w:pPr>
              <w:spacing w:line="276" w:lineRule="auto"/>
              <w:rPr>
                <w:rFonts w:hint="eastAsia" w:ascii="宋体" w:hAnsi="宋体"/>
                <w:color w:val="auto"/>
                <w:sz w:val="21"/>
                <w:szCs w:val="21"/>
                <w:highlight w:val="none"/>
              </w:rPr>
            </w:pPr>
            <w:r>
              <w:rPr>
                <w:rFonts w:hint="eastAsia" w:ascii="宋体" w:hAnsi="宋体"/>
                <w:color w:val="auto"/>
                <w:sz w:val="21"/>
                <w:szCs w:val="21"/>
                <w:highlight w:val="none"/>
              </w:rPr>
              <w:t xml:space="preserve">纸张克数不低于80克</w:t>
            </w:r>
            <w:r/>
          </w:p>
        </w:tc>
        <w:tc>
          <w:tcPr>
            <w:tcW w:w="966" w:type="pct"/>
            <w:vAlign w:val="center"/>
            <w:textDirection w:val="lrTb"/>
            <w:noWrap w:val="false"/>
          </w:tcPr>
          <w:p>
            <w:pPr>
              <w:spacing w:line="276" w:lineRule="auto"/>
              <w:rPr>
                <w:rFonts w:hint="eastAsia" w:ascii="宋体" w:hAnsi="宋体"/>
                <w:color w:val="auto"/>
                <w:sz w:val="21"/>
                <w:szCs w:val="21"/>
                <w:highlight w:val="none"/>
              </w:rPr>
            </w:pPr>
            <w:r>
              <w:rPr>
                <w:rFonts w:hint="eastAsia" w:ascii="宋体" w:hAnsi="宋体"/>
                <w:color w:val="auto"/>
                <w:sz w:val="21"/>
                <w:szCs w:val="21"/>
                <w:highlight w:val="none"/>
              </w:rPr>
              <w:t xml:space="preserve">根据具体情况备货</w:t>
            </w:r>
            <w:r/>
          </w:p>
        </w:tc>
        <w:tc>
          <w:tcPr>
            <w:tcW w:w="1561" w:type="pct"/>
            <w:vAlign w:val="center"/>
            <w:textDirection w:val="lrTb"/>
            <w:noWrap w:val="false"/>
          </w:tcPr>
          <w:p>
            <w:pPr>
              <w:spacing w:line="276" w:lineRule="auto"/>
              <w:rPr>
                <w:rFonts w:hint="eastAsia" w:ascii="宋体" w:hAnsi="宋体"/>
                <w:color w:val="auto"/>
                <w:sz w:val="21"/>
                <w:szCs w:val="21"/>
                <w:highlight w:val="none"/>
              </w:rPr>
            </w:pPr>
            <w:r>
              <w:rPr>
                <w:rFonts w:hint="eastAsia" w:ascii="宋体" w:hAnsi="宋体"/>
                <w:color w:val="auto"/>
                <w:sz w:val="21"/>
                <w:szCs w:val="21"/>
                <w:highlight w:val="none"/>
              </w:rPr>
              <w:t xml:space="preserve">技术人员根据甲方要求送货</w:t>
            </w:r>
            <w:r/>
          </w:p>
        </w:tc>
      </w:tr>
    </w:tbl>
    <w:p>
      <w:pPr>
        <w:ind w:firstLine="42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所有耗材、零配件、备件均为原厂正品，纸张克数不低于80克。</w:t>
      </w:r>
      <w:r/>
    </w:p>
    <w:p>
      <w:pPr>
        <w:ind w:firstLine="42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5</w:t>
      </w:r>
      <w:r>
        <w:rPr>
          <w:rFonts w:hint="eastAsia" w:ascii="宋体" w:hAnsi="宋体"/>
          <w:color w:val="auto"/>
          <w:sz w:val="21"/>
          <w:szCs w:val="21"/>
          <w:highlight w:val="none"/>
        </w:rPr>
        <w:t xml:space="preserve">）成交供应商交接时，文印设备上已启用的耗材及消耗性零件可继续使用，如部分文印设备的耗材和消耗性零件已接近用净或者接近更换寿命，由成交供应商负责准备需及时更换的耗材和消耗性零件。</w:t>
      </w:r>
      <w:r/>
    </w:p>
    <w:p>
      <w:pPr>
        <w:ind w:firstLine="42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6</w:t>
      </w:r>
      <w:r>
        <w:rPr>
          <w:rFonts w:hint="eastAsia" w:ascii="宋体" w:hAnsi="宋体"/>
          <w:color w:val="auto"/>
          <w:sz w:val="21"/>
          <w:szCs w:val="21"/>
          <w:highlight w:val="none"/>
        </w:rPr>
        <w:t xml:space="preserve">）成交供应商每季度在合同约定的抄表日期，抄取每一台文印设备当月所使用的黑白/彩色/双色文印输出的读数，以此为基础计算出甲方每月实际使用量。</w:t>
      </w:r>
      <w:r/>
    </w:p>
    <w:p>
      <w:pPr>
        <w:ind w:firstLine="42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7</w:t>
      </w:r>
      <w:r>
        <w:rPr>
          <w:rFonts w:hint="eastAsia" w:ascii="宋体" w:hAnsi="宋体"/>
          <w:color w:val="auto"/>
          <w:sz w:val="21"/>
          <w:szCs w:val="21"/>
          <w:highlight w:val="none"/>
        </w:rPr>
        <w:t xml:space="preserve">）本项目服务期限满前，成交供应商与下一期供应商交接前，须保证所有文印设备的正常使用，如有故障须负责修复。未拆封耗材、纸张和备用零配件办理移交手续后方可取走。</w:t>
      </w:r>
      <w:r/>
    </w:p>
    <w:p>
      <w:pPr>
        <w:ind w:firstLine="422"/>
        <w:jc w:val="left"/>
        <w:keepLines w:val="0"/>
        <w:keepNext w:val="0"/>
        <w:pageBreakBefore w:val="0"/>
        <w:spacing w:line="360" w:lineRule="auto"/>
        <w:widowControl w:val="off"/>
        <w:rPr>
          <w:rFonts w:hint="eastAsia" w:ascii="宋体" w:hAnsi="宋体"/>
          <w:b/>
          <w:color w:val="auto"/>
          <w:sz w:val="21"/>
          <w:szCs w:val="21"/>
          <w:highlight w:val="none"/>
        </w:rPr>
      </w:pPr>
      <w:r/>
      <w:bookmarkStart w:id="7" w:name="_Toc3794309"/>
      <w:r>
        <w:rPr>
          <w:rFonts w:ascii="宋体" w:hAnsi="宋体"/>
          <w:b/>
          <w:color w:val="auto"/>
          <w:sz w:val="21"/>
          <w:szCs w:val="21"/>
          <w:highlight w:val="none"/>
        </w:rPr>
        <w:t xml:space="preserve">3</w:t>
      </w:r>
      <w:r>
        <w:rPr>
          <w:rFonts w:hint="eastAsia" w:ascii="宋体" w:hAnsi="宋体"/>
          <w:b/>
          <w:color w:val="auto"/>
          <w:sz w:val="21"/>
          <w:szCs w:val="21"/>
          <w:highlight w:val="none"/>
        </w:rPr>
        <w:t xml:space="preserve">、</w:t>
      </w:r>
      <w:bookmarkEnd w:id="7"/>
      <w:r>
        <w:rPr>
          <w:rFonts w:hint="eastAsia" w:ascii="宋体" w:hAnsi="宋体"/>
          <w:b/>
          <w:color w:val="auto"/>
          <w:sz w:val="21"/>
          <w:szCs w:val="21"/>
          <w:highlight w:val="none"/>
        </w:rPr>
        <w:t xml:space="preserve">运维和售后服务要求</w:t>
      </w:r>
      <w:r/>
    </w:p>
    <w:p>
      <w:pPr>
        <w:ind w:firstLine="42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（1）供应商需提供至少</w:t>
      </w:r>
      <w:r>
        <w:rPr>
          <w:rFonts w:ascii="宋体" w:hAnsi="宋体"/>
          <w:color w:val="auto"/>
          <w:sz w:val="21"/>
          <w:szCs w:val="21"/>
          <w:highlight w:val="none"/>
        </w:rPr>
        <w:t xml:space="preserve">1</w:t>
      </w:r>
      <w:r>
        <w:rPr>
          <w:rFonts w:hint="eastAsia" w:ascii="宋体" w:hAnsi="宋体"/>
          <w:color w:val="auto"/>
          <w:sz w:val="21"/>
          <w:szCs w:val="21"/>
          <w:highlight w:val="none"/>
        </w:rPr>
        <w:t xml:space="preserve">名驻场人员进行维护和响应故障工作，协助法院工作人员进行文印工作，并对法院文印设备硬件和电子签章系统进行预防性维护及故障排除，每周对项目中的硬件和软件进行巡检一次，建立维护维修记录。设备硬件或软件发生故障，影响到法院正常工作，供应商在一个工作日不能排除的，需联系制造厂商技术人员在第二个工作日内上门维修，发生的任何费用均由成交供应商承担。</w:t>
      </w:r>
      <w:r/>
    </w:p>
    <w:p>
      <w:pPr>
        <w:ind w:firstLine="42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（2）售后服务：成交供应商对出现故障在10分钟内响应，</w:t>
      </w:r>
      <w:r>
        <w:rPr>
          <w:rFonts w:ascii="宋体" w:hAnsi="宋体"/>
          <w:color w:val="auto"/>
          <w:sz w:val="21"/>
          <w:szCs w:val="21"/>
          <w:highlight w:val="none"/>
        </w:rPr>
        <w:t xml:space="preserve">2</w:t>
      </w:r>
      <w:r>
        <w:rPr>
          <w:rFonts w:hint="eastAsia" w:ascii="宋体" w:hAnsi="宋体"/>
          <w:color w:val="auto"/>
          <w:sz w:val="21"/>
          <w:szCs w:val="21"/>
          <w:highlight w:val="none"/>
        </w:rPr>
        <w:t xml:space="preserve">小时以内到现场，</w:t>
      </w:r>
      <w:r>
        <w:rPr>
          <w:rFonts w:ascii="宋体" w:hAnsi="宋体"/>
          <w:color w:val="auto"/>
          <w:sz w:val="21"/>
          <w:szCs w:val="21"/>
          <w:highlight w:val="none"/>
        </w:rPr>
        <w:t xml:space="preserve">8</w:t>
      </w:r>
      <w:r>
        <w:rPr>
          <w:rFonts w:hint="eastAsia" w:ascii="宋体" w:hAnsi="宋体"/>
          <w:color w:val="auto"/>
          <w:sz w:val="21"/>
          <w:szCs w:val="21"/>
          <w:highlight w:val="none"/>
        </w:rPr>
        <w:t xml:space="preserve">小时以内提出问题解决方案并采取相应措施保障用户正常使用。成交供应商严格遵守服务合约，项目完成以后，如采购人有需要成交供应商配合的服务，供应商应予以配合。</w:t>
      </w:r>
      <w:r/>
    </w:p>
    <w:p>
      <w:pPr>
        <w:ind w:firstLine="422"/>
        <w:jc w:val="left"/>
        <w:keepLines w:val="0"/>
        <w:keepNext w:val="0"/>
        <w:pageBreakBefore w:val="0"/>
        <w:spacing w:line="360" w:lineRule="auto"/>
        <w:widowControl w:val="off"/>
        <w:rPr>
          <w:rFonts w:hint="eastAsia" w:ascii="宋体" w:hAnsi="宋体"/>
          <w:b/>
          <w:color w:val="auto"/>
          <w:sz w:val="21"/>
          <w:szCs w:val="21"/>
          <w:highlight w:val="none"/>
        </w:rPr>
      </w:pPr>
      <w:r/>
      <w:bookmarkStart w:id="8" w:name="_Toc3794313"/>
      <w:r>
        <w:rPr>
          <w:rFonts w:ascii="宋体" w:hAnsi="宋体"/>
          <w:b/>
          <w:color w:val="auto"/>
          <w:sz w:val="21"/>
          <w:szCs w:val="21"/>
          <w:highlight w:val="none"/>
        </w:rPr>
        <w:t xml:space="preserve">4</w:t>
      </w:r>
      <w:r>
        <w:rPr>
          <w:rFonts w:hint="eastAsia" w:ascii="宋体" w:hAnsi="宋体"/>
          <w:b/>
          <w:color w:val="auto"/>
          <w:sz w:val="21"/>
          <w:szCs w:val="21"/>
          <w:highlight w:val="none"/>
        </w:rPr>
        <w:t xml:space="preserve">、培训要求</w:t>
      </w:r>
      <w:bookmarkEnd w:id="8"/>
      <w:r/>
      <w:r/>
    </w:p>
    <w:p>
      <w:pPr>
        <w:ind w:firstLine="42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（1）供应商须向采购人提供免费培训，培训内容由双方协商确定。</w:t>
      </w:r>
      <w:r/>
    </w:p>
    <w:p>
      <w:pPr>
        <w:ind w:firstLine="42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w:t>
      </w:r>
      <w:r>
        <w:rPr>
          <w:rFonts w:hint="eastAsia" w:ascii="宋体" w:hAnsi="宋体"/>
          <w:color w:val="auto"/>
          <w:sz w:val="21"/>
          <w:szCs w:val="21"/>
          <w:highlight w:val="none"/>
        </w:rPr>
        <w:t xml:space="preserve">培训方式以现场集中培训为主，内容应包括并不限于电子签章系统操作使用及其他相关技术培训。</w:t>
      </w:r>
      <w:r/>
    </w:p>
    <w:p>
      <w:pPr>
        <w:ind w:firstLine="420"/>
        <w:jc w:val="left"/>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（3）成交供应商须选派具有一定资质和实践经验，且受过专门训练的专业技术人员负责技术培训工作。</w:t>
      </w:r>
      <w:r/>
    </w:p>
    <w:p>
      <w:pPr>
        <w:ind w:firstLine="422"/>
        <w:jc w:val="left"/>
        <w:keepLines w:val="0"/>
        <w:keepNext w:val="0"/>
        <w:pageBreakBefore w:val="0"/>
        <w:spacing w:line="360" w:lineRule="auto"/>
        <w:widowControl w:val="off"/>
        <w:rPr>
          <w:rFonts w:hint="eastAsia" w:ascii="宋体" w:hAnsi="宋体"/>
          <w:b/>
          <w:color w:val="auto"/>
          <w:sz w:val="21"/>
          <w:szCs w:val="21"/>
          <w:highlight w:val="none"/>
        </w:rPr>
      </w:pPr>
      <w:r>
        <w:rPr>
          <w:rFonts w:ascii="宋体" w:hAnsi="宋体"/>
          <w:b/>
          <w:color w:val="auto"/>
          <w:sz w:val="21"/>
          <w:szCs w:val="21"/>
          <w:highlight w:val="none"/>
        </w:rPr>
        <w:t xml:space="preserve">4</w:t>
      </w:r>
      <w:r>
        <w:rPr>
          <w:rFonts w:hint="eastAsia" w:ascii="宋体" w:hAnsi="宋体"/>
          <w:b/>
          <w:color w:val="auto"/>
          <w:sz w:val="21"/>
          <w:szCs w:val="21"/>
          <w:highlight w:val="none"/>
        </w:rPr>
        <w:t xml:space="preserve">、验收要求</w:t>
      </w:r>
      <w:r/>
    </w:p>
    <w:p>
      <w:pPr>
        <w:ind w:firstLine="420"/>
        <w:keepLines w:val="0"/>
        <w:keepNext w:val="0"/>
        <w:pageBreakBefore w:val="0"/>
        <w:spacing w:line="360" w:lineRule="auto"/>
        <w:widowControl w:val="off"/>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成交供应商向采购人提出功能确认验收申请，采购人会同成交供应商进行项目各项功能进行测试，如采购人认为不符合磋商文件的功能要求，可要求供应商进行整改至符合磋商文件功能要求。</w:t>
      </w:r>
      <w:bookmarkEnd w:id="4"/>
      <w:bookmarkEnd w:id="5"/>
      <w:r/>
    </w:p>
    <w:p>
      <w:pPr>
        <w:spacing w:line="360" w:lineRule="auto"/>
        <w:rPr>
          <w:rFonts w:ascii="宋体" w:hAnsi="宋体" w:cs="宋体"/>
          <w:color w:val="auto"/>
          <w:szCs w:val="21"/>
          <w:highlight w:val="none"/>
        </w:rPr>
        <w:outlineLvl w:val="1"/>
      </w:pPr>
      <w:r>
        <w:rPr>
          <w:rFonts w:hint="eastAsia" w:ascii="宋体" w:hAnsi="宋体" w:cs="宋体"/>
          <w:b/>
          <w:color w:val="auto"/>
          <w:szCs w:val="21"/>
          <w:highlight w:val="none"/>
        </w:rPr>
        <w:t xml:space="preserve">六、响应文件的组成及要求</w:t>
      </w:r>
      <w:r/>
    </w:p>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（一）文件组成（部分格式见附件）</w:t>
      </w:r>
      <w:r/>
    </w:p>
    <w:p>
      <w:pPr>
        <w:pStyle w:val="982"/>
        <w:ind w:firstLine="422"/>
        <w:keepLines w:val="0"/>
        <w:keepNext w:val="0"/>
        <w:pageBreakBefore w:val="0"/>
        <w:spacing w:line="36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1、封面</w:t>
      </w:r>
      <w:r/>
    </w:p>
    <w:p>
      <w:pPr>
        <w:pStyle w:val="982"/>
        <w:ind w:firstLine="422"/>
        <w:keepLines w:val="0"/>
        <w:keepNext w:val="0"/>
        <w:pageBreakBefore w:val="0"/>
        <w:spacing w:line="36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2、开标一览表</w:t>
      </w:r>
      <w:r/>
    </w:p>
    <w:p>
      <w:pPr>
        <w:pStyle w:val="982"/>
        <w:ind w:firstLine="422"/>
        <w:keepLines w:val="0"/>
        <w:keepNext w:val="0"/>
        <w:pageBreakBefore w:val="0"/>
        <w:spacing w:line="36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3、磋商报价分析表</w:t>
      </w:r>
      <w:r/>
    </w:p>
    <w:p>
      <w:pPr>
        <w:pStyle w:val="982"/>
        <w:ind w:firstLine="422"/>
        <w:keepLines w:val="0"/>
        <w:keepNext w:val="0"/>
        <w:pageBreakBefore w:val="0"/>
        <w:spacing w:line="36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4、资格审查响应文件</w:t>
      </w:r>
      <w:r/>
    </w:p>
    <w:p>
      <w:pPr>
        <w:pStyle w:val="982"/>
        <w:ind w:firstLine="420"/>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4.1满足《中华人民共和国政府采购法》第二十二条规定：</w:t>
      </w:r>
      <w:r/>
    </w:p>
    <w:p>
      <w:pPr>
        <w:pStyle w:val="982"/>
        <w:ind w:firstLine="420"/>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4.1.1具有独立承担民事责任的能力。提供包括法人或者其他组织的营业执照等证明文件，自然人的身份证明；</w:t>
      </w:r>
      <w:r/>
    </w:p>
    <w:p>
      <w:pPr>
        <w:pStyle w:val="982"/>
        <w:ind w:firstLine="420"/>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4.1.2具有良好的商业信誉和健全的财务会计制度。提供包括但不限于最近一期（202</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年度）财务审计报告或最近一期</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2025年6月至今任意一期</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财务报表，其他组织、自然人及成立未满一年的法人应提供银行出具的资信证明）；</w:t>
      </w:r>
      <w:r/>
    </w:p>
    <w:p>
      <w:pPr>
        <w:pStyle w:val="982"/>
        <w:ind w:firstLine="420"/>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4.1.3具有履行合同所必需的设备和专业技术能力。提供证明材料或承诺；</w:t>
      </w:r>
      <w:r/>
    </w:p>
    <w:p>
      <w:pPr>
        <w:pStyle w:val="982"/>
        <w:ind w:firstLine="420"/>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4.1.4有依法缴纳税收和社会保障资金的良好记录。提供提交响应文件截止时间前</w:t>
      </w:r>
      <w:r>
        <w:rPr>
          <w:rFonts w:hint="eastAsia" w:ascii="宋体" w:hAnsi="宋体" w:cs="宋体"/>
          <w:bCs/>
          <w:color w:val="auto"/>
          <w:szCs w:val="21"/>
          <w:highlight w:val="none"/>
          <w:lang w:val="en-US" w:eastAsia="zh-CN"/>
        </w:rPr>
        <w:t xml:space="preserve">半</w:t>
      </w:r>
      <w:r>
        <w:rPr>
          <w:rFonts w:hint="eastAsia" w:ascii="宋体" w:hAnsi="宋体" w:cs="宋体"/>
          <w:bCs/>
          <w:color w:val="auto"/>
          <w:szCs w:val="21"/>
          <w:highlight w:val="none"/>
        </w:rPr>
        <w:t xml:space="preserve">年内至少一个月依法缴纳税收及缴纳社会保障资金的证明材料，如相关主管部门证明或银行代扣证明。响应单位如依法享受缓缴、免缴税收、社会保障资金的应提供相关主管部门出具的证明材料；</w:t>
      </w:r>
      <w:r/>
    </w:p>
    <w:p>
      <w:pPr>
        <w:pStyle w:val="982"/>
        <w:ind w:firstLine="420"/>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4.1.5参加政府采购活动前三年内在经营活动中没有重大违法记录。提供书面声明函；</w:t>
      </w:r>
      <w:r/>
    </w:p>
    <w:p>
      <w:pPr>
        <w:pStyle w:val="982"/>
        <w:ind w:firstLine="420"/>
        <w:keepLines w:val="0"/>
        <w:keepNext w:val="0"/>
        <w:pageBreakBefore w:val="0"/>
        <w:spacing w:line="360" w:lineRule="auto"/>
        <w:widowControl w:val="off"/>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4.1.6法律、行政法规规定的其他条件。提供书面声明函</w:t>
      </w:r>
      <w:r>
        <w:rPr>
          <w:rFonts w:hint="eastAsia" w:ascii="宋体" w:hAnsi="宋体" w:cs="宋体"/>
          <w:bCs/>
          <w:color w:val="auto"/>
          <w:szCs w:val="21"/>
          <w:highlight w:val="none"/>
          <w:lang w:eastAsia="zh-CN"/>
        </w:rPr>
        <w:t xml:space="preserve">；</w:t>
      </w:r>
      <w:r/>
    </w:p>
    <w:p>
      <w:pPr>
        <w:pStyle w:val="982"/>
        <w:ind w:firstLine="420"/>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4.2</w:t>
      </w:r>
      <w:r>
        <w:rPr>
          <w:rFonts w:hint="eastAsia" w:ascii="宋体" w:hAnsi="宋体" w:cs="宋体"/>
          <w:bCs/>
          <w:color w:val="auto"/>
          <w:szCs w:val="21"/>
          <w:highlight w:val="none"/>
          <w:lang w:val="en-US" w:eastAsia="zh-CN"/>
        </w:rPr>
        <w:t xml:space="preserve">提供</w:t>
      </w:r>
      <w:r>
        <w:rPr>
          <w:rFonts w:hint="eastAsia" w:ascii="宋体" w:hAnsi="宋体" w:cs="宋体"/>
          <w:bCs/>
          <w:color w:val="auto"/>
          <w:szCs w:val="21"/>
          <w:highlight w:val="none"/>
        </w:rPr>
        <w:t xml:space="preserve">《中小企业声明函》或《残疾人福利性单位声明函》或省级以上监狱管理局、戒毒管理局（含新疆生产建设兵团）出具的属于监狱企业的证明文件。</w:t>
      </w:r>
      <w:r/>
    </w:p>
    <w:p>
      <w:pPr>
        <w:pStyle w:val="982"/>
        <w:ind w:firstLine="420"/>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4.3其它有关资格证明的文件（包括但不限于磋商采购公告中其他特定资格要求的证明文件，如有要求须提供）；</w:t>
      </w:r>
      <w:r/>
    </w:p>
    <w:p>
      <w:pPr>
        <w:pStyle w:val="982"/>
        <w:ind w:firstLine="422"/>
        <w:keepLines w:val="0"/>
        <w:keepNext w:val="0"/>
        <w:pageBreakBefore w:val="0"/>
        <w:spacing w:line="36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5、符合性审查响应文件</w:t>
      </w:r>
      <w:r/>
    </w:p>
    <w:p>
      <w:pPr>
        <w:pStyle w:val="982"/>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5.1磋商响应函；</w:t>
      </w:r>
      <w:r/>
    </w:p>
    <w:p>
      <w:pPr>
        <w:pStyle w:val="982"/>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5.2关于资格文件的声明函；</w:t>
      </w:r>
      <w:r/>
    </w:p>
    <w:p>
      <w:pPr>
        <w:pStyle w:val="982"/>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5.3磋商响应单位法定代表人身份证复印件；法人授权委托书和磋商响应单位授权代理人身份证复印件（如有授权）；</w:t>
      </w:r>
      <w:r/>
    </w:p>
    <w:p>
      <w:pPr>
        <w:pStyle w:val="982"/>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5.4服务偏离表；</w:t>
      </w:r>
      <w:r/>
    </w:p>
    <w:p>
      <w:pPr>
        <w:pStyle w:val="982"/>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5.5商务条款偏离表；</w:t>
      </w:r>
      <w:r/>
    </w:p>
    <w:p>
      <w:pPr>
        <w:pStyle w:val="982"/>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5.6投标（响应）保证承诺书；</w:t>
      </w:r>
      <w:r/>
    </w:p>
    <w:p>
      <w:pPr>
        <w:pStyle w:val="982"/>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5.7磋商响应单位基本情况表；</w:t>
      </w:r>
      <w:r/>
    </w:p>
    <w:p>
      <w:pPr>
        <w:pStyle w:val="982"/>
        <w:ind w:firstLine="420"/>
        <w:keepLines w:val="0"/>
        <w:keepNext w:val="0"/>
        <w:pageBreakBefore w:val="0"/>
        <w:spacing w:line="360" w:lineRule="auto"/>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5.8</w:t>
      </w:r>
      <w:r>
        <w:rPr>
          <w:rFonts w:hint="eastAsia" w:ascii="宋体" w:hAnsi="宋体" w:cs="宋体"/>
          <w:color w:val="auto"/>
          <w:szCs w:val="21"/>
          <w:highlight w:val="none"/>
          <w:lang w:val="en-US" w:eastAsia="zh-CN"/>
        </w:rPr>
        <w:t xml:space="preserve">采购文件中要求的相关承诺；</w:t>
      </w:r>
      <w:r/>
    </w:p>
    <w:p>
      <w:pPr>
        <w:pStyle w:val="982"/>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lang w:val="en-US" w:eastAsia="zh-CN"/>
        </w:rPr>
        <w:t xml:space="preserve">5.9</w:t>
      </w:r>
      <w:r>
        <w:rPr>
          <w:rFonts w:hint="eastAsia" w:ascii="宋体" w:hAnsi="宋体" w:cs="宋体"/>
          <w:color w:val="auto"/>
          <w:szCs w:val="21"/>
          <w:highlight w:val="none"/>
        </w:rPr>
        <w:t xml:space="preserve">其他有关符合性证明的文件：</w:t>
      </w:r>
      <w:r>
        <w:rPr>
          <w:rFonts w:hint="eastAsia" w:ascii="宋体" w:hAnsi="宋体" w:cs="宋体"/>
          <w:bCs/>
          <w:color w:val="auto"/>
          <w:szCs w:val="21"/>
          <w:highlight w:val="none"/>
        </w:rPr>
        <w:t xml:space="preserve">包括但不限于采购需求中要求提供的证明文件</w:t>
      </w:r>
      <w:r>
        <w:rPr>
          <w:rFonts w:hint="eastAsia" w:ascii="宋体" w:hAnsi="宋体" w:cs="宋体"/>
          <w:color w:val="auto"/>
          <w:szCs w:val="21"/>
          <w:highlight w:val="none"/>
        </w:rPr>
        <w:t xml:space="preserve">（如有）；</w:t>
      </w:r>
      <w:r/>
    </w:p>
    <w:p>
      <w:pPr>
        <w:pStyle w:val="982"/>
        <w:ind w:firstLine="422"/>
        <w:keepLines w:val="0"/>
        <w:keepNext w:val="0"/>
        <w:pageBreakBefore w:val="0"/>
        <w:spacing w:line="36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6、综合评审响应文件（具体模块以系统生成为准）</w:t>
      </w:r>
      <w:r/>
    </w:p>
    <w:p>
      <w:pPr>
        <w:pStyle w:val="982"/>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6.1项目实施工作方案（具体按评分标准要求）；</w:t>
      </w:r>
      <w:r/>
    </w:p>
    <w:p>
      <w:pPr>
        <w:pStyle w:val="982"/>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6.2针对本项目的人员配置</w:t>
      </w:r>
      <w:r>
        <w:rPr>
          <w:rFonts w:hint="eastAsia" w:ascii="宋体" w:hAnsi="宋体" w:cs="宋体"/>
          <w:color w:val="auto"/>
          <w:szCs w:val="21"/>
          <w:highlight w:val="none"/>
          <w:lang w:val="en-US" w:eastAsia="zh-CN"/>
        </w:rPr>
        <w:t xml:space="preserve">情况</w:t>
      </w:r>
      <w:r>
        <w:rPr>
          <w:rFonts w:hint="eastAsia" w:ascii="宋体" w:hAnsi="宋体" w:cs="宋体"/>
          <w:color w:val="auto"/>
          <w:szCs w:val="21"/>
          <w:highlight w:val="none"/>
        </w:rPr>
        <w:t xml:space="preserve">；</w:t>
      </w:r>
      <w:r/>
    </w:p>
    <w:p>
      <w:pPr>
        <w:pStyle w:val="982"/>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6.3 类似项目</w:t>
      </w:r>
      <w:r>
        <w:rPr>
          <w:rFonts w:hint="eastAsia" w:ascii="宋体" w:hAnsi="宋体" w:cs="宋体"/>
          <w:color w:val="auto"/>
          <w:szCs w:val="21"/>
          <w:highlight w:val="none"/>
          <w:lang w:val="zh-CN"/>
        </w:rPr>
        <w:t xml:space="preserve">业绩一览表</w:t>
      </w:r>
      <w:r>
        <w:rPr>
          <w:rFonts w:hint="eastAsia" w:ascii="宋体" w:hAnsi="宋体" w:cs="宋体"/>
          <w:color w:val="auto"/>
          <w:szCs w:val="21"/>
          <w:highlight w:val="none"/>
        </w:rPr>
        <w:t xml:space="preserve">；</w:t>
      </w:r>
      <w:r/>
    </w:p>
    <w:p>
      <w:pPr>
        <w:pStyle w:val="982"/>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6.4 采购需求及评分标准中所涉及到的其他材料。</w:t>
      </w:r>
      <w:r/>
    </w:p>
    <w:p>
      <w:pPr>
        <w:spacing w:line="360" w:lineRule="auto"/>
        <w:rPr>
          <w:rFonts w:ascii="宋体" w:hAnsi="宋体" w:cs="宋体"/>
          <w:color w:val="auto"/>
          <w:highlight w:val="none"/>
        </w:rPr>
      </w:pPr>
      <w:r>
        <w:rPr>
          <w:rFonts w:hint="eastAsia" w:ascii="宋体" w:hAnsi="宋体" w:cs="宋体"/>
          <w:b/>
          <w:color w:val="auto"/>
          <w:szCs w:val="21"/>
          <w:highlight w:val="none"/>
        </w:rPr>
        <w:t xml:space="preserve">7、</w:t>
      </w:r>
      <w:r>
        <w:rPr>
          <w:rFonts w:hint="eastAsia" w:ascii="宋体" w:hAnsi="宋体" w:cs="宋体"/>
          <w:b/>
          <w:bCs/>
          <w:color w:val="auto"/>
          <w:szCs w:val="21"/>
          <w:highlight w:val="none"/>
        </w:rPr>
        <w:t xml:space="preserve">价格折扣文件格式：本项目为专门面向中小企业采购，无需价格折扣。</w:t>
      </w:r>
      <w:r/>
    </w:p>
    <w:p>
      <w:pPr>
        <w:pStyle w:val="982"/>
        <w:ind w:firstLine="211"/>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982"/>
        <w:ind w:firstLine="211"/>
        <w:spacing w:line="360" w:lineRule="auto"/>
        <w:rPr>
          <w:rFonts w:ascii="宋体" w:hAnsi="宋体" w:cs="宋体"/>
          <w:b/>
          <w:bCs/>
          <w:color w:val="auto"/>
          <w:szCs w:val="21"/>
          <w:highlight w:val="none"/>
        </w:rPr>
      </w:pPr>
      <w:r>
        <w:rPr>
          <w:rFonts w:hint="eastAsia" w:ascii="宋体" w:hAnsi="宋体" w:cs="宋体"/>
          <w:b/>
          <w:color w:val="auto"/>
          <w:szCs w:val="21"/>
          <w:highlight w:val="none"/>
        </w:rPr>
        <w:t xml:space="preserve">注：</w:t>
      </w:r>
      <w:r>
        <w:rPr>
          <w:rFonts w:hint="eastAsia" w:ascii="宋体" w:hAnsi="宋体" w:cs="宋体"/>
          <w:b/>
          <w:bCs/>
          <w:color w:val="auto"/>
          <w:szCs w:val="21"/>
          <w:highlight w:val="none"/>
        </w:rPr>
        <w:t xml:space="preserve">（1）以上4.1-4.3为资格审查要求提供的材料，是作为对供应商资格审查、质疑身份认定的依据，响应供应商必须提供并加盖电子公章。否则，磋商响应文件将被认定为不符合资格审查要求。</w:t>
      </w:r>
      <w:r/>
    </w:p>
    <w:p>
      <w:pPr>
        <w:pStyle w:val="982"/>
        <w:ind w:firstLine="422"/>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（2）以上5.1-5.8为符合性审查须提供的资料，响应供应商必须提供并加盖电子公章。否则，磋商响应文件将被认定为未实质性响应。</w:t>
      </w:r>
      <w:r/>
    </w:p>
    <w:p>
      <w:pPr>
        <w:pStyle w:val="982"/>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（3）制作电子响应文件时必须与响应文件制作软件目录一一对应，将相关资料上传至相应模块。</w:t>
      </w:r>
      <w:r>
        <w:rPr>
          <w:rFonts w:hint="eastAsia" w:ascii="宋体" w:hAnsi="宋体" w:cs="宋体"/>
          <w:color w:val="auto"/>
          <w:szCs w:val="21"/>
          <w:highlight w:val="none"/>
        </w:rPr>
        <w:t xml:space="preserve">注意不要漏项。如有不确定上传的位置的，可以上传至其他资料或上传至符合性审查资料</w:t>
      </w:r>
      <w:r>
        <w:rPr>
          <w:rFonts w:hint="eastAsia" w:ascii="宋体" w:hAnsi="宋体" w:cs="宋体"/>
          <w:b/>
          <w:bCs/>
          <w:color w:val="auto"/>
          <w:szCs w:val="21"/>
          <w:highlight w:val="none"/>
          <w:lang w:val="zh-CN"/>
        </w:rPr>
        <w:t xml:space="preserve">。</w:t>
      </w:r>
      <w:r/>
    </w:p>
    <w:p>
      <w:pPr>
        <w:pStyle w:val="903"/>
        <w:ind w:firstLine="422"/>
        <w:spacing w:line="360"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（4）磋商响应文件编制要求：</w:t>
      </w:r>
      <w:r>
        <w:rPr>
          <w:rFonts w:hint="eastAsia" w:ascii="宋体" w:hAnsi="宋体" w:eastAsia="宋体" w:cs="宋体"/>
          <w:bCs/>
          <w:color w:val="auto"/>
          <w:sz w:val="21"/>
          <w:szCs w:val="21"/>
          <w:highlight w:val="none"/>
        </w:rPr>
        <w:t xml:space="preserve">本项目采用电子招投标形式，请供应商按照《苏采云系统供应商操作手册》进行制作、上传电子响应文件。</w:t>
      </w:r>
      <w:r>
        <w:rPr>
          <w:rFonts w:hint="eastAsia" w:ascii="宋体" w:hAnsi="宋体" w:eastAsia="宋体" w:cs="宋体"/>
          <w:b/>
          <w:bCs/>
          <w:color w:val="auto"/>
          <w:sz w:val="21"/>
          <w:szCs w:val="21"/>
          <w:highlight w:val="none"/>
        </w:rPr>
        <w:t xml:space="preserve">电子响应文件制作完成后请于响应文件递交截止时间前成功上传至“苏采云”系统，否则视为放弃参加该采购项目。</w:t>
      </w:r>
      <w:r>
        <w:rPr>
          <w:rFonts w:hint="eastAsia" w:ascii="宋体" w:hAnsi="宋体" w:eastAsia="宋体" w:cs="宋体"/>
          <w:bCs/>
          <w:color w:val="auto"/>
          <w:sz w:val="21"/>
          <w:szCs w:val="21"/>
          <w:highlight w:val="none"/>
        </w:rPr>
        <w:t xml:space="preserve">供应商应充分考虑到网络环境、网络带宽等风险因素，如因供应商自身原因造成的电子响应文件上传不成功由供应商自行承担全部责任。</w:t>
      </w:r>
      <w:r/>
    </w:p>
    <w:p>
      <w:pPr>
        <w:pStyle w:val="903"/>
        <w:ind w:firstLine="422"/>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ind w:firstLine="422"/>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七、磋商程序</w:t>
      </w:r>
      <w:r/>
    </w:p>
    <w:p>
      <w:pPr>
        <w:pStyle w:val="90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1、采购代理机构按规定的时间、地点主持磋商采购活动。</w:t>
      </w:r>
      <w:r/>
    </w:p>
    <w:p>
      <w:pPr>
        <w:pStyle w:val="903"/>
        <w:spacing w:line="360" w:lineRule="auto"/>
        <w:rPr>
          <w:rFonts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2、供应商通过“苏采云”系统在线参与磋商活动。供应商应当按照《苏采云系统供应商操作手册》规定在 “苏采云”系统规定的时间内对响应文件进行解密。</w:t>
      </w:r>
      <w:r/>
    </w:p>
    <w:p>
      <w:pPr>
        <w:pStyle w:val="90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3、在磋商响应文件网上递交截止时间止成功解密的磋商供应商少于三家，则本次采购失败。</w:t>
      </w:r>
      <w:r/>
    </w:p>
    <w:p>
      <w:pPr>
        <w:pStyle w:val="90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4、由磋商小组审查供应商解密的响应文件。</w:t>
      </w:r>
      <w:r/>
    </w:p>
    <w:p>
      <w:pPr>
        <w:pStyle w:val="90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5、由磋商小组对各响应单位的资格进行审查。资格审查内容包括：</w:t>
      </w:r>
      <w:r/>
    </w:p>
    <w:p>
      <w:pPr>
        <w:pStyle w:val="90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（1）供应商是否满足《中华人民共和国政府采购法》第二十二条规定的基本条件；</w:t>
      </w:r>
      <w:r/>
    </w:p>
    <w:p>
      <w:pPr>
        <w:pStyle w:val="90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（2）信用查询，现场审查供应商是否在参加政府采购活动前三年内，在经营活动中没有重大违法记录；</w:t>
      </w:r>
      <w:r/>
    </w:p>
    <w:p>
      <w:pPr>
        <w:pStyle w:val="90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（3）专门面向中小企业的项目，应当在资格审查环节对供应商出具的《中小企业声明函》进行审查；</w:t>
      </w:r>
      <w:r/>
    </w:p>
    <w:p>
      <w:pPr>
        <w:pStyle w:val="90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（4）接受联合体投标的项目，联合体各方是否满足采购文件规定并提交相应证明文件；</w:t>
      </w:r>
      <w:r/>
    </w:p>
    <w:p>
      <w:pPr>
        <w:pStyle w:val="90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（5）供应商是否满足采购文件规定的其他特定条件；</w:t>
      </w:r>
      <w:r/>
    </w:p>
    <w:p>
      <w:pPr>
        <w:pStyle w:val="90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（6）供应商是否存在其他不得参与该政府采购项目的情形。</w:t>
      </w:r>
      <w:r/>
    </w:p>
    <w:p>
      <w:pPr>
        <w:pStyle w:val="90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资格审查责任主体应按照采购文件的要求对投标（响应）供应商提供的资格审查文件独立进行资格审查并提交资格审查结果。</w:t>
      </w:r>
      <w:r/>
    </w:p>
    <w:p>
      <w:pPr>
        <w:pStyle w:val="903"/>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90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7、磋商小组要求供应商澄清、说明或者更正响应文件应当以书面形式做出。供应商的澄清、说明或者更正应当由其单位加盖电子公章。</w:t>
      </w:r>
      <w:r/>
    </w:p>
    <w:p>
      <w:pPr>
        <w:pStyle w:val="936"/>
        <w:ind w:firstLine="422"/>
        <w:rPr>
          <w:rFonts w:cs="宋体"/>
          <w:b/>
          <w:color w:val="auto"/>
          <w:sz w:val="21"/>
          <w:szCs w:val="21"/>
          <w:highlight w:val="none"/>
        </w:rPr>
      </w:pPr>
      <w:r>
        <w:rPr>
          <w:rFonts w:hint="eastAsia" w:cs="宋体"/>
          <w:b/>
          <w:color w:val="auto"/>
          <w:sz w:val="21"/>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cs="宋体"/>
          <w:color w:val="auto"/>
          <w:sz w:val="21"/>
          <w:szCs w:val="21"/>
          <w:highlight w:val="none"/>
        </w:rPr>
        <w:t xml:space="preserve">（</w:t>
      </w:r>
      <w:r>
        <w:rPr>
          <w:rFonts w:hint="eastAsia" w:cs="宋体"/>
          <w:b/>
          <w:color w:val="auto"/>
          <w:sz w:val="21"/>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pStyle w:val="90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8、对于通过资格审查和符合性审查的供应商，磋商小组所有成员集中与单一供应商分别进行磋商，并给予所有参加磋商的供应商平等的磋商机会。</w:t>
      </w:r>
      <w:r>
        <w:rPr>
          <w:rFonts w:hint="eastAsia" w:ascii="宋体" w:hAnsi="宋体" w:eastAsia="宋体" w:cs="宋体"/>
          <w:b/>
          <w:color w:val="auto"/>
          <w:sz w:val="21"/>
          <w:szCs w:val="21"/>
          <w:highlight w:val="none"/>
        </w:rPr>
        <w:t xml:space="preserve">磋商小组通过“苏采云”系统向供应商发布“磋商函”，供应商应当按照要求在“苏采云”系统提交“磋商响应函”并加盖CA电子公章。</w:t>
      </w:r>
      <w:r/>
    </w:p>
    <w:p>
      <w:pPr>
        <w:pStyle w:val="90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903"/>
        <w:spacing w:line="360" w:lineRule="auto"/>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10、</w:t>
      </w:r>
      <w:r>
        <w:rPr>
          <w:rFonts w:hint="eastAsia" w:ascii="宋体" w:hAnsi="宋体" w:eastAsia="宋体" w:cs="宋体"/>
          <w:b/>
          <w:color w:val="auto"/>
          <w:sz w:val="21"/>
          <w:szCs w:val="21"/>
          <w:highlight w:val="none"/>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auto"/>
          <w:sz w:val="21"/>
          <w:szCs w:val="21"/>
          <w:highlight w:val="none"/>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eastAsia="宋体" w:cs="宋体"/>
          <w:b/>
          <w:bCs/>
          <w:color w:val="auto"/>
          <w:sz w:val="21"/>
          <w:szCs w:val="21"/>
          <w:highlight w:val="none"/>
        </w:rPr>
        <w:t xml:space="preserve">除因磋商采购文件修改导致供应商成本增加的，最后报价不得高于第一次报价，否则为无效响应报价。</w:t>
      </w:r>
      <w:r/>
    </w:p>
    <w:p>
      <w:pPr>
        <w:pStyle w:val="903"/>
        <w:ind w:firstLine="422"/>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11、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903"/>
        <w:ind w:firstLine="422"/>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已提交响应文件的供应商，在提交最后报价之前，可以根据磋商情况退出磋商，并在“苏采云”系统中提交“退出磋商函”并加盖CA电子公章。</w:t>
      </w:r>
      <w:r/>
    </w:p>
    <w:p>
      <w:pPr>
        <w:pStyle w:val="903"/>
        <w:ind w:firstLine="422"/>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*进入项目评审流程后，建议各供应商法定代表人或授权委托人始终保持通讯顺畅，时刻关注不见面开标大厅，不离开不见面开标大厅。</w:t>
      </w:r>
      <w:r/>
    </w:p>
    <w:p>
      <w:pPr>
        <w:pStyle w:val="90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12、经磋商确定最终采购需求和提交最后报价的供应商后，由磋商小组采用综合评分法对提交最后报价的供应商的响应文件和最后报价进行综合评分。</w:t>
      </w:r>
      <w:r/>
    </w:p>
    <w:p>
      <w:pPr>
        <w:pStyle w:val="90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13、磋商小组根据磋商成交原则确定成交供应商，并将结果通知所有参加磋商的供应商。</w:t>
      </w:r>
      <w:r/>
    </w:p>
    <w:p>
      <w:pPr>
        <w:pStyle w:val="90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14、如磋商过程中出现本采购文件未尽事宜，由磋商小组根据政府采购有关法律、法规讨论决定。</w:t>
      </w:r>
      <w:r/>
    </w:p>
    <w:p>
      <w:pPr>
        <w:ind w:firstLine="422"/>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八、综合说明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磋商响应总报价应包含完成本项目全部服务所需各项应有费用。除非合同条款中另有规定，否则，成交单位所报价格在合同实施期间不因市场变化因素而变动。磋商响应单位未填价格的项目，在实施后，采购单位将不予支付，并视为该项费用已包括磋商总报价中。</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2、磋商响应单位必须说明其是否响应采购文件中提出的全部服务内容与要求，如果其中某些条款不响应时，应在文件中逐条列出，未列出的视同响应。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3、磋商保证金：</w:t>
      </w:r>
      <w:r/>
    </w:p>
    <w:p>
      <w:pPr>
        <w:ind w:firstLine="422"/>
        <w:spacing w:line="360" w:lineRule="auto"/>
        <w:rPr>
          <w:rStyle w:val="984"/>
          <w:rFonts w:ascii="宋体" w:hAnsi="宋体" w:cs="宋体"/>
          <w:b/>
          <w:color w:val="auto"/>
          <w:szCs w:val="21"/>
          <w:highlight w:val="none"/>
        </w:rPr>
      </w:pPr>
      <w:r>
        <w:rPr>
          <w:rStyle w:val="984"/>
          <w:rFonts w:hint="eastAsia" w:ascii="宋体" w:hAnsi="宋体" w:cs="宋体"/>
          <w:b/>
          <w:color w:val="auto"/>
          <w:szCs w:val="21"/>
          <w:highlight w:val="none"/>
        </w:rPr>
        <w:t xml:space="preserve">不需提交，采购文件中有关磋商保证金的规定均不适用。投标（响应）人应在投标（响应）文件中提交《投标（响应）保证承诺书》（详见附件），否则为无效投标。</w:t>
      </w:r>
      <w:r/>
    </w:p>
    <w:p>
      <w:pPr>
        <w:ind w:firstLine="420"/>
        <w:spacing w:line="360" w:lineRule="auto"/>
        <w:rPr>
          <w:rFonts w:ascii="宋体" w:hAnsi="宋体" w:cs="宋体"/>
          <w:color w:val="auto"/>
          <w:highlight w:val="none"/>
        </w:rPr>
      </w:pPr>
      <w:r>
        <w:rPr>
          <w:rFonts w:hint="eastAsia" w:ascii="宋体" w:hAnsi="宋体" w:cs="宋体"/>
          <w:bCs/>
          <w:color w:val="auto"/>
          <w:szCs w:val="21"/>
          <w:highlight w:val="none"/>
        </w:rPr>
        <w:t xml:space="preserve">4、代理服务费：</w:t>
      </w:r>
      <w:r>
        <w:rPr>
          <w:rStyle w:val="984"/>
          <w:rFonts w:hint="eastAsia" w:ascii="宋体" w:hAnsi="宋体" w:cs="宋体"/>
          <w:color w:val="auto"/>
          <w:szCs w:val="21"/>
          <w:highlight w:val="none"/>
        </w:rPr>
        <w:t xml:space="preserve">由成交单位按照预算金额计算并支付，具体为100万元以内1.5%、100万元～500万元以内1.1%差额定率累进法计算并支付代理服务费，该费用应在领取成交通知书时付清。本项目服务费金额为人民币</w:t>
      </w:r>
      <w:r>
        <w:rPr>
          <w:rStyle w:val="984"/>
          <w:rFonts w:hint="eastAsia" w:ascii="宋体" w:hAnsi="宋体" w:cs="宋体"/>
          <w:color w:val="auto"/>
          <w:szCs w:val="21"/>
          <w:highlight w:val="none"/>
          <w:lang w:val="en-US" w:eastAsia="zh-CN"/>
        </w:rPr>
        <w:t xml:space="preserve">壹万柒仟贰佰</w:t>
      </w:r>
      <w:r>
        <w:rPr>
          <w:rStyle w:val="984"/>
          <w:rFonts w:hint="eastAsia" w:ascii="宋体" w:hAnsi="宋体" w:cs="宋体"/>
          <w:color w:val="auto"/>
          <w:szCs w:val="21"/>
          <w:highlight w:val="none"/>
        </w:rPr>
        <w:t xml:space="preserve">元整。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代理服务费交纳账户：苏州市创杰招投标咨询服务有限公司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开户银行：江苏银行苏州金阊支行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账    号：30100188000004892</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5、磋商说明：</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（1）不符合供应商资格要求的响应文件将被拒绝；</w:t>
      </w:r>
      <w:r/>
    </w:p>
    <w:p>
      <w:pPr>
        <w:ind w:firstLine="420"/>
        <w:spacing w:line="360" w:lineRule="auto"/>
        <w:rPr>
          <w:rFonts w:ascii="宋体" w:hAnsi="宋体" w:cs="宋体"/>
          <w:b/>
          <w:color w:val="auto"/>
          <w:szCs w:val="21"/>
          <w:highlight w:val="none"/>
        </w:rPr>
      </w:pPr>
      <w:r>
        <w:rPr>
          <w:rFonts w:hint="eastAsia" w:ascii="宋体" w:hAnsi="宋体" w:cs="宋体"/>
          <w:bCs/>
          <w:color w:val="auto"/>
          <w:szCs w:val="21"/>
          <w:highlight w:val="none"/>
        </w:rPr>
        <w:t xml:space="preserve">（2）</w:t>
      </w:r>
      <w:r>
        <w:rPr>
          <w:rFonts w:hint="eastAsia" w:ascii="宋体" w:hAnsi="宋体" w:cs="宋体"/>
          <w:b/>
          <w:color w:val="auto"/>
          <w:szCs w:val="21"/>
          <w:highlight w:val="none"/>
        </w:rPr>
        <w:t xml:space="preserve">机器码检查中，不同供应商使用同一台电脑编制响应文件的，响应文件将被认定为无效响应；</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（3）最终报价超过采购预算或最高限价的，不能成交；</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（4）不实质性响应磋商文件的不能成交；</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w:t>
      </w:r>
      <w:r>
        <w:rPr>
          <w:rFonts w:hint="eastAsia" w:ascii="宋体" w:hAnsi="宋体" w:cs="宋体"/>
          <w:color w:val="auto"/>
          <w:szCs w:val="21"/>
          <w:highlight w:val="none"/>
        </w:rPr>
        <w:t xml:space="preserve">参加磋商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不得少于二家），磋商采购失败</w:t>
      </w:r>
      <w:r>
        <w:rPr>
          <w:rFonts w:hint="eastAsia" w:ascii="宋体" w:hAnsi="宋体" w:cs="宋体"/>
          <w:bCs/>
          <w:color w:val="auto"/>
          <w:szCs w:val="21"/>
          <w:highlight w:val="none"/>
        </w:rPr>
        <w:t xml:space="preserve">。</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w:t>
      </w:r>
      <w:r>
        <w:rPr>
          <w:rFonts w:hint="eastAsia" w:ascii="宋体" w:hAnsi="宋体" w:cs="宋体"/>
          <w:color w:val="auto"/>
          <w:szCs w:val="21"/>
          <w:highlight w:val="none"/>
        </w:rPr>
        <w:t xml:space="preserve">最终合同单价按最终总报价同比例下浮。</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w:t>
      </w:r>
      <w:r>
        <w:rPr>
          <w:rFonts w:hint="eastAsia" w:ascii="宋体" w:hAnsi="宋体" w:cs="宋体"/>
          <w:b/>
          <w:color w:val="auto"/>
          <w:szCs w:val="21"/>
          <w:highlight w:val="none"/>
        </w:rPr>
        <w:t xml:space="preserve">联合投标：</w:t>
      </w:r>
      <w:r>
        <w:rPr>
          <w:rFonts w:hint="eastAsia" w:ascii="宋体" w:hAnsi="宋体" w:cs="宋体"/>
          <w:b/>
          <w:bCs/>
          <w:color w:val="auto"/>
          <w:szCs w:val="21"/>
          <w:highlight w:val="none"/>
          <w:lang w:val="zh-CN"/>
        </w:rPr>
        <w:t xml:space="preserve">本项目不接受联合投标。</w:t>
      </w:r>
      <w:r/>
    </w:p>
    <w:p>
      <w:pPr>
        <w:pStyle w:val="982"/>
        <w:numPr>
          <w:ilvl w:val="0"/>
          <w:numId w:val="3"/>
        </w:numPr>
        <w:ind w:left="-4" w:firstLine="424"/>
        <w:spacing w:line="360" w:lineRule="auto"/>
        <w:tabs>
          <w:tab w:val="left" w:pos="993"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两个以上的自然人、法人或者其他组织可以组成一个联合体，以一个供应商的身份共同参加政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r/>
    </w:p>
    <w:p>
      <w:pPr>
        <w:pStyle w:val="982"/>
        <w:numPr>
          <w:ilvl w:val="0"/>
          <w:numId w:val="3"/>
        </w:numPr>
        <w:ind w:left="-4" w:firstLine="424"/>
        <w:spacing w:line="360" w:lineRule="auto"/>
        <w:tabs>
          <w:tab w:val="left" w:pos="993"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联合体各方应签订联合投标协议（详见统一格式），明确联合体的牵头人，明确约定各方拟承担的工作和责任，并将该联合投标协议随响应文件一并提交给招标代理机构。联合体牵头人应被授权作为联合体所有成员的代表承担责任和接受指令，并负责整个合同的全面履行。</w:t>
      </w:r>
      <w:r/>
    </w:p>
    <w:p>
      <w:pPr>
        <w:pStyle w:val="982"/>
        <w:numPr>
          <w:ilvl w:val="0"/>
          <w:numId w:val="3"/>
        </w:numPr>
        <w:ind w:left="-4" w:firstLine="424"/>
        <w:spacing w:line="360" w:lineRule="auto"/>
        <w:tabs>
          <w:tab w:val="left" w:pos="993"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联合体各方共同与采购单位签订合同，就采购合同约定的事项对采购单位承担连带责任。</w:t>
      </w:r>
      <w:r/>
    </w:p>
    <w:p>
      <w:pPr>
        <w:pStyle w:val="982"/>
        <w:numPr>
          <w:ilvl w:val="0"/>
          <w:numId w:val="3"/>
        </w:numPr>
        <w:ind w:left="-4" w:firstLine="424"/>
        <w:spacing w:line="360" w:lineRule="auto"/>
        <w:tabs>
          <w:tab w:val="left" w:pos="993"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除非另有规定或说明，本文中“响应单位”一词亦指联合体各成员。</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7、凡涉及磋商采购文件的补充说明和修改，均以苏州政府采购网上发布的通知为准。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8、关于对参与供应商信用记录的政府采购要求：</w:t>
      </w:r>
      <w:r/>
    </w:p>
    <w:p>
      <w:pPr>
        <w:ind w:firstLine="420"/>
        <w:spacing w:line="360" w:lineRule="auto"/>
        <w:tabs>
          <w:tab w:val="left" w:pos="420" w:leader="none"/>
        </w:tabs>
        <w:rPr>
          <w:rFonts w:ascii="宋体" w:hAnsi="宋体" w:cs="宋体"/>
          <w:color w:val="auto"/>
          <w:szCs w:val="21"/>
          <w:highlight w:val="none"/>
        </w:rPr>
      </w:pPr>
      <w:r>
        <w:rPr>
          <w:rFonts w:hint="eastAsia" w:ascii="宋体" w:hAnsi="宋体" w:cs="宋体"/>
          <w:color w:val="auto"/>
          <w:szCs w:val="21"/>
          <w:highlight w:val="none"/>
        </w:rPr>
        <w:t xml:space="preserve">（1）采购代理机构会在接收响应文件截止时间后，登录信用中国网站（www.creditchina.gov.cn/）查询供应商的信用记录，并将查询结果递交评审小组。</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（3）供应商若在经营活动中受到罚款的，请携带相关地方、部门对较大数额认定标准的证明材料，与响应文件一并提交。若无法提供，则可能承担响应无效等相应不利后果。</w:t>
      </w:r>
      <w:r/>
    </w:p>
    <w:p>
      <w:pPr>
        <w:ind w:firstLine="420"/>
        <w:spacing w:line="360" w:lineRule="auto"/>
        <w:tabs>
          <w:tab w:val="left" w:pos="420" w:leader="none"/>
        </w:tabs>
        <w:rPr>
          <w:rFonts w:ascii="宋体" w:hAnsi="宋体" w:cs="宋体"/>
          <w:color w:val="auto"/>
          <w:szCs w:val="21"/>
          <w:highlight w:val="none"/>
        </w:rPr>
      </w:pPr>
      <w:r>
        <w:rPr>
          <w:rFonts w:hint="eastAsia" w:ascii="宋体" w:hAnsi="宋体" w:cs="宋体"/>
          <w:color w:val="auto"/>
          <w:szCs w:val="21"/>
          <w:highlight w:val="none"/>
        </w:rPr>
        <w:t xml:space="preserve">（4）对存在失信信息的供应商，由失信供应商进行确认。同时，采购代理机构工作人员应根据评审小组确认的失信信息，登录到相关来源网站页面进行复核并打印，作为证据留存。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（5）按照《中华人民共和国政府采购法》第二十二条规定，下列信用记录属于应依法拒绝供应商参加政府采购的失信信息：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（二）财政部门与法院、工商、税务等部门联合惩戒的失信信息，包括：</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1）被列入失信被执行人名单；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2）被列入重大税收违法案件当事人名单；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9、告知成交结果</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采购单位或其委托的代理机构根据相关规定发布成交公告，成交公告发出的同时应当向成交供应商发出《成交通知书》</w:t>
      </w:r>
      <w:bookmarkStart w:id="9" w:name="_Hlk132385577"/>
      <w:r/>
      <w:bookmarkStart w:id="10" w:name="_Hlk132385599"/>
      <w:r/>
      <w:bookmarkStart w:id="11" w:name="_Hlk132389804"/>
      <w:r>
        <w:rPr>
          <w:rFonts w:hint="eastAsia" w:ascii="宋体" w:hAnsi="宋体" w:cs="宋体"/>
          <w:color w:val="auto"/>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9"/>
      <w:r/>
      <w:bookmarkEnd w:id="10"/>
      <w:r/>
      <w:bookmarkEnd w:id="11"/>
      <w:r>
        <w:rPr>
          <w:rFonts w:hint="eastAsia" w:ascii="宋体" w:hAnsi="宋体" w:cs="宋体"/>
          <w:color w:val="auto"/>
          <w:highlight w:val="none"/>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10、成交供应商除发生法律规定的不能预见、不能避免并不能克服的客观情况外不得放弃或拒绝签订合同的。放弃或拒绝签订合同的，采购单位视情将其通报给财政部门。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11、采购合同履行中，采购单位需追加与合同标的相同的服务的，在不改变合同其他条款的前提下，可以与成交供应商协商签订补充合同，但所有补充合同的项目金额不得超过原合同项目金额的百分之十。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12、成交供应商拒绝签订采购合同的，或因不可抗力或者自身原因不能履行采购合同的，采购单位可以视情与排位在成交供应商之后第一位的成交候选供应商签订采购合同，也可以重新开展招标活动。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13、质疑处理</w:t>
      </w:r>
      <w:r/>
    </w:p>
    <w:p>
      <w:pPr>
        <w:pStyle w:val="90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供应商认为采购文件、采购过程或成交结果使自己的权益受到损害的，可以在知道或者应知其权益受到损害之日起7个工作日内，以书面形式向采购单位、采购代理机构提出质疑。采购代理机构应当在收到供应商书面质疑后7个工作日内作出答复。</w:t>
      </w:r>
      <w:r/>
    </w:p>
    <w:p>
      <w:pPr>
        <w:pStyle w:val="90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13.2本次采购文件要求供应商在法定质疑期内一次性提出针对同一采购程序环节的质疑。</w:t>
      </w:r>
      <w:r/>
    </w:p>
    <w:p>
      <w:pPr>
        <w:pStyle w:val="90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13.3供应商提出质疑应当提交质疑函和必要的证明材料，质疑函应当包括下列内容：</w:t>
      </w:r>
      <w:r/>
    </w:p>
    <w:p>
      <w:pPr>
        <w:pStyle w:val="90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（1）供应商的姓名或者名称（以提供的营业执照副本复印件为准）、地址、邮编、联系人及联系电话；</w:t>
      </w:r>
      <w:r/>
    </w:p>
    <w:p>
      <w:pPr>
        <w:pStyle w:val="90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（2）质疑项目的名称、编号；</w:t>
      </w:r>
      <w:r/>
    </w:p>
    <w:p>
      <w:pPr>
        <w:pStyle w:val="90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（3）具体、明确的质疑事项和与质疑事项相关的请求；</w:t>
      </w:r>
      <w:r/>
    </w:p>
    <w:p>
      <w:pPr>
        <w:pStyle w:val="90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（4）事实依据；</w:t>
      </w:r>
      <w:r/>
    </w:p>
    <w:p>
      <w:pPr>
        <w:pStyle w:val="90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（5）必要的法律依据；</w:t>
      </w:r>
      <w:r/>
    </w:p>
    <w:p>
      <w:pPr>
        <w:pStyle w:val="90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（6）提出质疑的日期。</w:t>
      </w:r>
      <w:r/>
    </w:p>
    <w:p>
      <w:pPr>
        <w:pStyle w:val="90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color w:val="auto"/>
          <w:sz w:val="21"/>
          <w:szCs w:val="21"/>
          <w:highlight w:val="none"/>
        </w:rPr>
        <w:t xml:space="preserve">授权委托书</w:t>
      </w:r>
      <w:r>
        <w:rPr>
          <w:rFonts w:hint="eastAsia" w:ascii="宋体" w:hAnsi="宋体" w:eastAsia="宋体" w:cs="宋体"/>
          <w:color w:val="auto"/>
          <w:sz w:val="21"/>
          <w:szCs w:val="21"/>
          <w:highlight w:val="none"/>
        </w:rPr>
        <w:t xml:space="preserve">上应当载明代理人的姓名或者名称、代理事项、具体权限、期限和相关事项。</w:t>
      </w:r>
      <w:r/>
    </w:p>
    <w:p>
      <w:pPr>
        <w:pStyle w:val="903"/>
        <w:ind w:firstLine="422"/>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auto"/>
          <w:sz w:val="21"/>
          <w:szCs w:val="21"/>
          <w:highlight w:val="none"/>
        </w:rPr>
        <w:t xml:space="preserve">。</w:t>
      </w:r>
      <w:r/>
    </w:p>
    <w:p>
      <w:pPr>
        <w:pStyle w:val="903"/>
        <w:spacing w:line="360" w:lineRule="auto"/>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13.4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color w:val="auto"/>
          <w:sz w:val="21"/>
          <w:szCs w:val="21"/>
          <w:highlight w:val="none"/>
        </w:rPr>
        <w:t xml:space="preserve">《投标供应商确认函》</w:t>
      </w:r>
      <w:r>
        <w:rPr>
          <w:rFonts w:hint="eastAsia" w:ascii="宋体" w:hAnsi="宋体" w:eastAsia="宋体" w:cs="宋体"/>
          <w:color w:val="auto"/>
          <w:sz w:val="21"/>
          <w:szCs w:val="21"/>
          <w:highlight w:val="none"/>
        </w:rPr>
        <w:t xml:space="preserve">）与质疑函一起递交，否则不予受理。</w:t>
      </w:r>
      <w:r/>
    </w:p>
    <w:p>
      <w:pPr>
        <w:pStyle w:val="90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13.5接收质疑函的方式：书面形式（当场送达或邮寄方式）</w:t>
      </w:r>
      <w:r/>
    </w:p>
    <w:p>
      <w:pPr>
        <w:pStyle w:val="90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质疑联系人：路丽丽</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朱晓芹  庄天扬  潘莉莉  </w:t>
      </w:r>
      <w:r/>
    </w:p>
    <w:p>
      <w:pPr>
        <w:pStyle w:val="90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联系电话：0512-68669209</w:t>
      </w:r>
      <w:r/>
    </w:p>
    <w:p>
      <w:pPr>
        <w:pStyle w:val="90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现场递交地址：苏州市干将西路399号银海大厦303室</w:t>
      </w:r>
      <w:r/>
    </w:p>
    <w:p>
      <w:pPr>
        <w:pStyle w:val="90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邮寄收取地址：苏州市干将西路399号银海大厦303室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14、相关政策（如涉及）</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次招标不接受进口设备的投标，进口产品的定义为：指通过中国海关报关验收进入中国境内且产自境外的产品，具体按照苏财购〔2008〕14号江苏省财政厅转发财政部办公厅关于政府采购进口产品管理有关问题的通知的规定。本项目为服务类，不涉及该项。</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（2）中、小、微企业</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微型企业的</w:t>
      </w:r>
      <w:r>
        <w:rPr>
          <w:rFonts w:hint="eastAsia" w:ascii="宋体" w:hAnsi="宋体" w:cs="宋体"/>
          <w:color w:val="auto"/>
          <w:szCs w:val="21"/>
          <w:highlight w:val="none"/>
        </w:rPr>
        <w:t xml:space="preserve">投标报价扣除20%后参与评审。</w:t>
      </w:r>
      <w:r>
        <w:rPr>
          <w:rFonts w:hint="eastAsia" w:ascii="宋体" w:hAnsi="宋体" w:cs="宋体"/>
          <w:b/>
          <w:color w:val="auto"/>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在政府采购活动中，供应商提供的服务符合下列情形的，享受《政府采购促进中小企业发展管理办法》规定的中小企业扶持政策：</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在服务采购项目中，服务由中小企业承接，即提供服务的人员为中小企业依照《中华人民共和国劳动合同法》订立劳动合同的从业人员。</w:t>
      </w:r>
      <w:r>
        <w:rPr>
          <w:rFonts w:hint="eastAsia" w:ascii="宋体" w:hAnsi="宋体" w:cs="宋体"/>
          <w:b/>
          <w:color w:val="auto"/>
          <w:szCs w:val="21"/>
          <w:highlight w:val="none"/>
        </w:rPr>
        <w:t xml:space="preserve">服务类项目中供应商若使用退休人员，将不享受相关扶持政策。</w:t>
      </w:r>
      <w:r/>
    </w:p>
    <w:p>
      <w:pPr>
        <w:ind w:firstLine="420"/>
        <w:spacing w:line="360" w:lineRule="auto"/>
        <w:tabs>
          <w:tab w:val="left" w:pos="567" w:leader="none"/>
        </w:tabs>
        <w:rPr>
          <w:rFonts w:ascii="宋体" w:hAnsi="宋体" w:cs="宋体"/>
          <w:b/>
          <w:bCs/>
          <w:color w:val="auto"/>
          <w:szCs w:val="21"/>
          <w:highlight w:val="none"/>
        </w:rPr>
      </w:pPr>
      <w:r>
        <w:rPr>
          <w:rFonts w:hint="eastAsia" w:ascii="宋体" w:hAnsi="宋体" w:cs="宋体"/>
          <w:color w:val="auto"/>
          <w:szCs w:val="21"/>
          <w:highlight w:val="none"/>
        </w:rPr>
        <w:t xml:space="preserve">在货物采购项目中，货物由中小企业制造，即货物由中小企业生产且使用该中小企业商号或者注册商标。</w:t>
      </w:r>
      <w:r>
        <w:rPr>
          <w:rFonts w:hint="eastAsia" w:ascii="宋体" w:hAnsi="宋体" w:cs="宋体"/>
          <w:b/>
          <w:bCs/>
          <w:color w:val="auto"/>
          <w:szCs w:val="21"/>
          <w:highlight w:val="none"/>
        </w:rPr>
        <w:t xml:space="preserve">其中，供应商提供的货物既有中小企业制造货物，也有大型企业制造货物的，不享受中小企业扶持政策。</w:t>
      </w:r>
      <w:r/>
    </w:p>
    <w:p>
      <w:pPr>
        <w:ind w:firstLine="422"/>
        <w:spacing w:line="360" w:lineRule="auto"/>
        <w:tabs>
          <w:tab w:val="left" w:pos="567"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2"/>
        <w:spacing w:line="360" w:lineRule="auto"/>
        <w:tabs>
          <w:tab w:val="left" w:pos="567"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根据《政府采购促进中小企业发展管理办法》（财库〔2020〕46号）及《中小企业划型标准规定》（工信部联企业〔2011〕300号），本采购项目对应的中小企业划分标准所属行业为：其他未列明行业。</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（3）残疾人福利性单位</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color w:val="auto"/>
          <w:szCs w:val="21"/>
          <w:highlight w:val="none"/>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（4）监狱企业</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color w:val="auto"/>
          <w:szCs w:val="21"/>
          <w:highlight w:val="none"/>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（5）绿色采购</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1）根据《关于调整优化节能产品、环境标志产品政府采购执行机制的通知》（财库〔2019〕9号）等相关文件的规定，</w:t>
      </w:r>
      <w:r>
        <w:rPr>
          <w:rFonts w:hint="eastAsia" w:ascii="宋体" w:hAnsi="宋体" w:cs="宋体"/>
          <w:b/>
          <w:color w:val="auto"/>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s="宋体"/>
          <w:color w:val="auto"/>
          <w:szCs w:val="21"/>
          <w:highlight w:val="none"/>
        </w:rPr>
      </w:pPr>
      <w:r>
        <w:rPr>
          <w:rFonts w:hint="eastAsia" w:ascii="宋体" w:hAnsi="宋体" w:cs="宋体"/>
          <w:color w:val="auto"/>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6</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根据《苏财购〔2025〕62号》文，评审委员会启动异常低价投标（响应）审查的情形和具体要求，包括：</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A、评审过程中出现下列情形之一的，评审委员会应当启动异常低价投标（响应）审查程序：</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（1）投标（响应）报价低于采购项目预算50%的，即投标（响应）报价&lt;采购项目预算×50%；</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（2）投标（响应）报价低于采购项目最高限价45%的，即投标（响应）报价&lt;采购项目最高限价×45%；</w:t>
      </w:r>
      <w:r/>
    </w:p>
    <w:p>
      <w:pPr>
        <w:ind w:firstLine="420"/>
        <w:spacing w:line="360" w:lineRule="auto"/>
        <w:tabs>
          <w:tab w:val="left" w:pos="567" w:leader="none"/>
        </w:tabs>
        <w:rPr>
          <w:rFonts w:hint="eastAsia" w:ascii="宋体" w:hAnsi="宋体" w:cs="宋体"/>
          <w:color w:val="auto"/>
          <w:highlight w:val="none"/>
        </w:rPr>
      </w:pPr>
      <w:r>
        <w:rPr>
          <w:rFonts w:hint="eastAsia" w:ascii="宋体" w:hAnsi="宋体" w:cs="宋体"/>
          <w:color w:val="auto"/>
          <w:highlight w:val="none"/>
        </w:rPr>
        <w:t xml:space="preserve">（3）评审委员会认定的供应商报价过低、有可能影响产品质量或者不能诚信履约的其他情形。</w:t>
      </w:r>
      <w:r/>
    </w:p>
    <w:p>
      <w:pPr>
        <w:ind w:firstLine="420"/>
        <w:spacing w:line="360" w:lineRule="auto"/>
        <w:tabs>
          <w:tab w:val="left" w:pos="567" w:leader="none"/>
        </w:tabs>
        <w:rPr>
          <w:rFonts w:hint="eastAsia" w:ascii="宋体" w:hAnsi="宋体" w:cs="宋体"/>
          <w:color w:val="auto"/>
          <w:highlight w:val="none"/>
          <w:lang w:eastAsia="zh-CN"/>
        </w:rPr>
      </w:pPr>
      <w:r>
        <w:rPr>
          <w:rFonts w:hint="eastAsia" w:ascii="宋体" w:hAnsi="宋体" w:cs="宋体"/>
          <w:color w:val="auto"/>
          <w:highlight w:val="none"/>
        </w:rPr>
        <w:t xml:space="preserve">B、启动异常低价投标（响应）审查后，评审委员会应当要求相关供应商在苏采云系统中设置的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cs="宋体"/>
          <w:color w:val="auto"/>
          <w:highlight w:val="none"/>
          <w:lang w:eastAsia="zh-CN"/>
        </w:rPr>
        <w:t xml:space="preserve">。</w:t>
      </w:r>
      <w:r/>
    </w:p>
    <w:p>
      <w:pPr>
        <w:ind w:firstLine="420"/>
        <w:spacing w:line="360" w:lineRule="auto"/>
        <w:tabs>
          <w:tab w:val="left" w:pos="567" w:leader="none"/>
        </w:tabs>
        <w:rPr>
          <w:rFonts w:hint="eastAsia" w:ascii="宋体" w:hAnsi="宋体" w:cs="宋体"/>
          <w:color w:val="auto"/>
          <w:highlight w:val="none"/>
          <w:lang w:eastAsia="zh-CN"/>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7</w:t>
      </w:r>
      <w:r>
        <w:rPr>
          <w:rFonts w:hint="eastAsia" w:ascii="宋体" w:hAnsi="宋体" w:cs="宋体"/>
          <w:color w:val="auto"/>
          <w:highlight w:val="none"/>
          <w:lang w:eastAsia="zh-CN"/>
        </w:rPr>
        <w:t xml:space="preserve">）政府采购中实施本国产品标准及相关政策（</w:t>
      </w:r>
      <w:r>
        <w:rPr>
          <w:rFonts w:hint="eastAsia" w:ascii="宋体" w:hAnsi="宋体" w:cs="宋体"/>
          <w:color w:val="auto"/>
          <w:highlight w:val="none"/>
          <w:lang w:val="en-US" w:eastAsia="zh-CN"/>
        </w:rPr>
        <w:t xml:space="preserve">本项目为服务类，该政策不适用</w:t>
      </w:r>
      <w:r>
        <w:rPr>
          <w:rFonts w:hint="eastAsia" w:ascii="宋体" w:hAnsi="宋体" w:cs="宋体"/>
          <w:color w:val="auto"/>
          <w:highlight w:val="none"/>
          <w:lang w:eastAsia="zh-CN"/>
        </w:rPr>
        <w:t xml:space="preserve">）</w:t>
      </w:r>
      <w:r/>
    </w:p>
    <w:p>
      <w:pPr>
        <w:ind w:firstLine="420"/>
        <w:spacing w:line="360" w:lineRule="auto"/>
        <w:tabs>
          <w:tab w:val="left" w:pos="567" w:leader="none"/>
        </w:tabs>
        <w:rPr>
          <w:rFonts w:hint="eastAsia" w:ascii="宋体" w:hAnsi="宋体" w:cs="宋体"/>
          <w:color w:val="auto"/>
          <w:highlight w:val="none"/>
          <w:lang w:eastAsia="zh-CN"/>
        </w:rPr>
      </w:pPr>
      <w:r>
        <w:rPr>
          <w:rFonts w:hint="eastAsia" w:ascii="宋体" w:hAnsi="宋体" w:cs="宋体"/>
          <w:color w:val="auto"/>
          <w:highlight w:val="none"/>
          <w:lang w:val="en-US" w:eastAsia="zh-CN"/>
        </w:rPr>
        <w:t xml:space="preserve">7.</w:t>
      </w:r>
      <w:r>
        <w:rPr>
          <w:rFonts w:hint="eastAsia" w:ascii="宋体" w:hAnsi="宋体" w:cs="宋体"/>
          <w:color w:val="auto"/>
          <w:highlight w:val="none"/>
          <w:lang w:eastAsia="zh-CN"/>
        </w:rPr>
        <w:t xml:space="preserve">1.本项目对采购本国产品给予政策支持：</w:t>
      </w:r>
      <w:r/>
    </w:p>
    <w:p>
      <w:pPr>
        <w:ind w:firstLine="420"/>
        <w:spacing w:line="360" w:lineRule="auto"/>
        <w:tabs>
          <w:tab w:val="left" w:pos="567" w:leader="none"/>
        </w:tabs>
        <w:rPr>
          <w:rFonts w:hint="eastAsia" w:ascii="宋体" w:hAnsi="宋体" w:cs="宋体"/>
          <w:color w:val="auto"/>
          <w:highlight w:val="none"/>
          <w:lang w:eastAsia="zh-CN"/>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1</w:t>
      </w:r>
      <w:r>
        <w:rPr>
          <w:rFonts w:hint="eastAsia" w:ascii="宋体" w:hAnsi="宋体" w:cs="宋体"/>
          <w:color w:val="auto"/>
          <w:highlight w:val="none"/>
          <w:lang w:eastAsia="zh-CN"/>
        </w:rPr>
        <w:t xml:space="preserve">）本项目政府采购活动中既有本国产品又有非本国产品参与竞争的，依法对本国产品给予价格评审优惠，对本国产品的报价给予20%的价格扣除，用扣除后的价格参与评审。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567" w:leader="none"/>
        </w:tabs>
        <w:rPr>
          <w:rFonts w:hint="eastAsia" w:ascii="宋体" w:hAnsi="宋体" w:cs="宋体"/>
          <w:color w:val="auto"/>
          <w:highlight w:val="none"/>
          <w:lang w:eastAsia="zh-CN"/>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2</w:t>
      </w:r>
      <w:r>
        <w:rPr>
          <w:rFonts w:hint="eastAsia" w:ascii="宋体" w:hAnsi="宋体" w:cs="宋体"/>
          <w:color w:val="auto"/>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tabs>
          <w:tab w:val="left" w:pos="567" w:leader="none"/>
        </w:tabs>
        <w:rPr>
          <w:rFonts w:hint="eastAsia" w:ascii="宋体" w:hAnsi="宋体" w:cs="宋体"/>
          <w:color w:val="auto"/>
          <w:highlight w:val="none"/>
          <w:lang w:eastAsia="zh-CN"/>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3</w:t>
      </w:r>
      <w:r>
        <w:rPr>
          <w:rFonts w:hint="eastAsia" w:ascii="宋体" w:hAnsi="宋体" w:cs="宋体"/>
          <w:color w:val="auto"/>
          <w:highlight w:val="none"/>
          <w:lang w:eastAsia="zh-CN"/>
        </w:rPr>
        <w:t xml:space="preserve">）供应商需按照招标文件的要求提供《关于符合本国产品标准的声明函》（以下简称《声明函》），如不提供将不享受本国产品价格评审优惠。</w:t>
      </w:r>
      <w:r/>
    </w:p>
    <w:p>
      <w:pPr>
        <w:ind w:firstLine="420"/>
        <w:spacing w:line="360" w:lineRule="auto"/>
        <w:tabs>
          <w:tab w:val="left" w:pos="567" w:leader="none"/>
        </w:tabs>
        <w:rPr>
          <w:rFonts w:hint="eastAsia" w:ascii="宋体" w:hAnsi="宋体" w:cs="宋体"/>
          <w:color w:val="auto"/>
          <w:highlight w:val="none"/>
          <w:lang w:eastAsia="zh-CN"/>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4</w:t>
      </w:r>
      <w:r>
        <w:rPr>
          <w:rFonts w:hint="eastAsia" w:ascii="宋体" w:hAnsi="宋体" w:cs="宋体"/>
          <w:color w:val="auto"/>
          <w:highlight w:val="none"/>
          <w:lang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tabs>
          <w:tab w:val="left" w:pos="567" w:leader="none"/>
        </w:tabs>
        <w:rPr>
          <w:rFonts w:hint="eastAsia" w:ascii="宋体" w:hAnsi="宋体" w:cs="宋体"/>
          <w:color w:val="auto"/>
          <w:highlight w:val="none"/>
          <w:lang w:eastAsia="zh-CN"/>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5</w:t>
      </w:r>
      <w:r>
        <w:rPr>
          <w:rFonts w:hint="eastAsia" w:ascii="宋体" w:hAnsi="宋体" w:cs="宋体"/>
          <w:color w:val="auto"/>
          <w:highlight w:val="none"/>
          <w:lang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tabs>
          <w:tab w:val="left" w:pos="567" w:leader="none"/>
        </w:tabs>
        <w:rPr>
          <w:rFonts w:hint="eastAsia" w:ascii="宋体" w:hAnsi="宋体" w:cs="宋体"/>
          <w:color w:val="auto"/>
          <w:highlight w:val="none"/>
          <w:lang w:eastAsia="zh-CN"/>
        </w:rPr>
      </w:pPr>
      <w:r>
        <w:rPr>
          <w:rFonts w:hint="eastAsia" w:ascii="宋体" w:hAnsi="宋体" w:cs="宋体"/>
          <w:color w:val="auto"/>
          <w:highlight w:val="none"/>
          <w:lang w:val="en-US" w:eastAsia="zh-CN"/>
        </w:rPr>
        <w:t xml:space="preserve">7.</w:t>
      </w:r>
      <w:r>
        <w:rPr>
          <w:rFonts w:hint="eastAsia" w:ascii="宋体" w:hAnsi="宋体" w:cs="宋体"/>
          <w:color w:val="auto"/>
          <w:highlight w:val="none"/>
          <w:lang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567" w:leader="none"/>
        </w:tabs>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7.</w:t>
      </w:r>
      <w:r>
        <w:rPr>
          <w:rFonts w:hint="eastAsia" w:ascii="宋体" w:hAnsi="宋体" w:cs="宋体"/>
          <w:color w:val="auto"/>
          <w:highlight w:val="none"/>
          <w:lang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03"/>
        <w:ind w:firstLine="422"/>
        <w:spacing w:line="360" w:lineRule="auto"/>
        <w:rPr>
          <w:rFonts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15、</w:t>
      </w:r>
      <w:r>
        <w:rPr>
          <w:rFonts w:hint="eastAsia" w:ascii="宋体" w:hAnsi="宋体" w:eastAsia="宋体" w:cs="宋体"/>
          <w:b/>
          <w:color w:val="auto"/>
          <w:sz w:val="21"/>
          <w:szCs w:val="21"/>
          <w:highlight w:val="none"/>
        </w:rPr>
        <w:t xml:space="preserve">项目的终止</w:t>
      </w:r>
      <w:r/>
    </w:p>
    <w:p>
      <w:pPr>
        <w:pStyle w:val="90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出现下列情形之一的，将终止竞争性磋商采购活动：</w:t>
      </w:r>
      <w:r/>
    </w:p>
    <w:p>
      <w:pPr>
        <w:pStyle w:val="90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（1）因情况变化，不再符合规定的竞争性磋商采购方式适用情形的；</w:t>
      </w:r>
      <w:r/>
    </w:p>
    <w:p>
      <w:pPr>
        <w:pStyle w:val="90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（2）出现影响采购公正的违法、违规行为的；</w:t>
      </w:r>
      <w:r/>
    </w:p>
    <w:p>
      <w:pPr>
        <w:pStyle w:val="90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（3）在采购活动中因重大变故，采购任务取消的。</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16、导致无效投标因素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投标人（响应单位）存在下列情况之一的，投标无效：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（1）投标（响应）文件未按招标（采购）文件要求签署、盖章的；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（2）不具备招标（采购）文件中规定的资格要求的；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（3）报价超过招标（采购）文件中规定的预算金额（总预算和单项预算）或者最高限价的；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（4）投标（响应）文件含有采购单位不能接受的附加条件的；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（5）不同投标（响应）文件制作机器码一致的；</w:t>
      </w:r>
      <w:r/>
    </w:p>
    <w:p>
      <w:pPr>
        <w:ind w:firstLine="420"/>
        <w:spacing w:line="360" w:lineRule="auto"/>
        <w:rPr>
          <w:rFonts w:ascii="宋体" w:hAnsi="宋体" w:cs="宋体"/>
          <w:color w:val="auto"/>
          <w:szCs w:val="21"/>
          <w:highlight w:val="none"/>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color w:val="auto"/>
          <w:szCs w:val="21"/>
          <w:highlight w:val="none"/>
        </w:rPr>
        <w:t xml:space="preserve">（6）法律、法规和招标（采购）文件规定的其他无效情形。</w:t>
      </w:r>
      <w:r/>
    </w:p>
    <w:p>
      <w:pPr>
        <w:ind w:firstLine="643"/>
        <w:jc w:val="center"/>
        <w:pageBreakBefore/>
        <w:spacing w:line="360" w:lineRule="auto"/>
        <w:tabs>
          <w:tab w:val="left" w:pos="315" w:leader="none"/>
          <w:tab w:val="center" w:pos="4153" w:leader="none"/>
        </w:tabs>
        <w:rPr>
          <w:rFonts w:ascii="宋体" w:hAnsi="宋体" w:cs="宋体"/>
          <w:color w:val="auto"/>
          <w:highlight w:val="none"/>
        </w:rPr>
        <w:outlineLvl w:val="0"/>
      </w:pPr>
      <w:r>
        <w:rPr>
          <w:rFonts w:hint="eastAsia" w:ascii="宋体" w:hAnsi="宋体" w:cs="宋体"/>
          <w:b/>
          <w:color w:val="auto"/>
          <w:sz w:val="32"/>
          <w:szCs w:val="32"/>
          <w:highlight w:val="none"/>
        </w:rPr>
        <w:t xml:space="preserve">三、评标方法及评分标准</w:t>
      </w:r>
      <w:r/>
    </w:p>
    <w:p>
      <w:pPr>
        <w:ind w:firstLine="422"/>
        <w:spacing w:line="360" w:lineRule="auto"/>
        <w:rPr>
          <w:rFonts w:ascii="宋体" w:hAnsi="宋体" w:cs="宋体"/>
          <w:color w:val="auto"/>
          <w:szCs w:val="21"/>
          <w:highlight w:val="none"/>
          <w:shd w:val="clear" w:color="auto" w:fill="ffffff"/>
        </w:rPr>
        <w:outlineLvl w:val="1"/>
      </w:pPr>
      <w:r>
        <w:rPr>
          <w:rFonts w:hint="eastAsia" w:ascii="宋体" w:hAnsi="宋体" w:cs="宋体"/>
          <w:b/>
          <w:bCs/>
          <w:color w:val="auto"/>
          <w:szCs w:val="21"/>
          <w:highlight w:val="none"/>
        </w:rPr>
        <w:t xml:space="preserve">一、评标方法</w:t>
      </w:r>
      <w:r/>
    </w:p>
    <w:p>
      <w:pPr>
        <w:ind w:firstLine="420"/>
        <w:spacing w:line="360" w:lineRule="auto"/>
        <w:rPr>
          <w:color w:val="auto"/>
          <w:highlight w:val="none"/>
        </w:rPr>
      </w:pPr>
      <w:r>
        <w:rPr>
          <w:rFonts w:hint="eastAsia" w:ascii="宋体" w:hAnsi="宋体" w:cs="宋体"/>
          <w:color w:val="auto"/>
          <w:szCs w:val="21"/>
          <w:highlight w:val="none"/>
          <w:shd w:val="clear" w:color="auto" w:fill="ffffff"/>
        </w:rPr>
        <w:t xml:space="preserve">1、本次招标评标方法为综合评分法，即在</w:t>
      </w:r>
      <w:r>
        <w:rPr>
          <w:rFonts w:hint="eastAsia" w:ascii="宋体" w:hAnsi="宋体" w:cs="宋体"/>
          <w:color w:val="auto"/>
          <w:highlight w:val="none"/>
        </w:rPr>
        <w:t xml:space="preserve">最大限度地</w:t>
      </w:r>
      <w:r>
        <w:rPr>
          <w:rFonts w:hint="eastAsia" w:ascii="宋体" w:hAnsi="宋体" w:cs="宋体"/>
          <w:color w:val="auto"/>
          <w:szCs w:val="21"/>
          <w:highlight w:val="none"/>
          <w:shd w:val="clear" w:color="auto" w:fill="ffffff"/>
        </w:rPr>
        <w:t xml:space="preserve">满足采购文件实质性要求前提下，按照采购文件中规定的评分标准和各项因素进行综合评审后，</w:t>
      </w:r>
      <w:r>
        <w:rPr>
          <w:rFonts w:hint="eastAsia" w:ascii="宋体" w:hAnsi="宋体" w:cs="宋体"/>
          <w:color w:val="auto"/>
          <w:highlight w:val="none"/>
        </w:rPr>
        <w:t xml:space="preserve">由</w:t>
      </w:r>
      <w:r>
        <w:rPr>
          <w:rFonts w:hint="eastAsia" w:ascii="宋体" w:hAnsi="宋体" w:cs="宋体"/>
          <w:color w:val="auto"/>
          <w:szCs w:val="21"/>
          <w:highlight w:val="none"/>
          <w:lang w:val="zh-CN"/>
        </w:rPr>
        <w:t xml:space="preserve">综合评分得分最高的磋商响应单位为</w:t>
      </w:r>
      <w:r>
        <w:rPr>
          <w:rFonts w:hint="eastAsia" w:ascii="宋体" w:hAnsi="宋体" w:cs="宋体"/>
          <w:color w:val="auto"/>
          <w:szCs w:val="21"/>
          <w:highlight w:val="none"/>
        </w:rPr>
        <w:t xml:space="preserve">成交候选单位</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3、如出现评标总得分最高的磋商响应单位有两个或两个以上的，以投标报价较低者优先作为成交单位，如果实际投标报价也相同的，则由采购单位或者采购代理机构以抽签方式确定成交单位。</w:t>
      </w:r>
      <w:r/>
    </w:p>
    <w:p>
      <w:pPr>
        <w:ind w:firstLine="422"/>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二、评分标准</w:t>
      </w:r>
      <w:r/>
    </w:p>
    <w:p>
      <w:pPr>
        <w:ind w:firstLine="422"/>
        <w:spacing w:line="360" w:lineRule="auto"/>
        <w:rPr>
          <w:rFonts w:ascii="宋体" w:hAnsi="宋体" w:cs="宋体"/>
          <w:b/>
          <w:color w:val="auto"/>
          <w:szCs w:val="21"/>
          <w:highlight w:val="none"/>
        </w:rPr>
        <w:outlineLvl w:val="2"/>
      </w:pPr>
      <w:r>
        <w:rPr>
          <w:rFonts w:hint="eastAsia" w:ascii="宋体" w:hAnsi="宋体" w:cs="宋体"/>
          <w:b/>
          <w:color w:val="auto"/>
          <w:szCs w:val="21"/>
          <w:highlight w:val="none"/>
        </w:rPr>
        <w:t xml:space="preserve">（一）价格分（</w:t>
      </w:r>
      <w:r>
        <w:rPr>
          <w:rFonts w:hint="eastAsia" w:ascii="宋体" w:hAnsi="宋体" w:cs="宋体"/>
          <w:b/>
          <w:color w:val="auto"/>
          <w:szCs w:val="21"/>
          <w:highlight w:val="none"/>
          <w:lang w:val="en-US" w:eastAsia="zh-CN"/>
        </w:rPr>
        <w:t xml:space="preserve">3</w:t>
      </w:r>
      <w:r>
        <w:rPr>
          <w:rFonts w:hint="eastAsia" w:ascii="宋体" w:hAnsi="宋体" w:cs="宋体"/>
          <w:b/>
          <w:color w:val="auto"/>
          <w:szCs w:val="21"/>
          <w:highlight w:val="none"/>
        </w:rPr>
        <w:t xml:space="preserve">0分，以最后报价作为计算依据）</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投标总报价低于或等于</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预算价格的，为有效投标报价。超</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预算的投标报价为无效投标报价。无效投标报价的响应文件</w:t>
      </w:r>
      <w:r>
        <w:rPr>
          <w:rFonts w:hint="eastAsia" w:ascii="宋体" w:hAnsi="宋体" w:cs="宋体"/>
          <w:color w:val="auto"/>
          <w:szCs w:val="21"/>
          <w:highlight w:val="none"/>
        </w:rPr>
        <w:t xml:space="preserve">不参与评审，也</w:t>
      </w:r>
      <w:r>
        <w:rPr>
          <w:rFonts w:hint="eastAsia" w:ascii="宋体" w:hAnsi="宋体" w:cs="宋体"/>
          <w:color w:val="auto"/>
          <w:szCs w:val="21"/>
          <w:highlight w:val="none"/>
          <w:lang w:val="zh-CN"/>
        </w:rPr>
        <w:t xml:space="preserve">不得中标。</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价格分采用低价优先法计算，即满足采购文件要求且投标价格最低的投标报价为评标基准价，其价格分为满分，其他响应单位的价格分统一按照下列公式计算（计算结果四舍五入保留两位小数）：投标报价得分＝（评标基准价/投标报价）×</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0</w:t>
      </w:r>
      <w:r>
        <w:rPr>
          <w:rFonts w:hint="eastAsia" w:ascii="宋体" w:hAnsi="宋体" w:cs="宋体"/>
          <w:color w:val="auto"/>
          <w:szCs w:val="21"/>
          <w:highlight w:val="none"/>
          <w:lang w:val="zh-CN"/>
        </w:rPr>
        <w:t xml:space="preserve">％×100。</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（二）</w:t>
      </w:r>
      <w:r>
        <w:rPr>
          <w:rFonts w:hint="eastAsia" w:ascii="宋体" w:hAnsi="宋体" w:cs="宋体"/>
          <w:b/>
          <w:bCs/>
          <w:color w:val="auto"/>
          <w:szCs w:val="21"/>
          <w:highlight w:val="none"/>
        </w:rPr>
        <w:t xml:space="preserve">组织实施方案</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lang w:val="en-US" w:eastAsia="zh-CN"/>
        </w:rPr>
        <w:t xml:space="preserve">55</w:t>
      </w:r>
      <w:r>
        <w:rPr>
          <w:rFonts w:hint="eastAsia" w:ascii="宋体" w:hAnsi="宋体" w:cs="宋体"/>
          <w:b/>
          <w:bCs/>
          <w:color w:val="auto"/>
          <w:szCs w:val="21"/>
          <w:highlight w:val="none"/>
          <w:lang w:val="zh-CN"/>
        </w:rPr>
        <w:t xml:space="preserve">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1、日常维护方案：8分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维护方案详细、内容详细、维保计划清晰明确的得8分；维护方案较为详细、内容较为详细、维保计划较为清晰明确的得5分；维护方案一般、内容简略、维保计划无针对性的得3分；未提供的不得分。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2、提供项目要求及实施方案：8分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提供项目要求及实施方案完善精细、科学合理、操作性强的得8分；提供项目要求及实施方案较简单、操作性一般的得5分；提供项目要求及实施方案无针对性、缺乏可操作性的得2分；未提供的不得分。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3、维修技术人员配置方案：8分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维修技术人员配置方案中人员结构清晰、职责划分明确，分工科学的得8分；维修技术人员配置方案中人员结构清晰、职责划分明确，分工缺乏合理性的得5分；维修技术人员配置方案中人员结构简单、职责划分模糊的得2分；未提供的不得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4、保障工作顺利进行的质量保证系统与标准：6分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保证措施科学、合理、切实可行、有针对性的得6分；维保质量保证措施合理、实用的得4分；方案一般、内容简略、无针对性的的2分；未提供的不得分。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5、具有完善的项目开展内部管理架构：5分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组织架构清晰、职责划分明确，分工科学、合理的得5分；内部架构清晰、职责划分明确，分工缺乏合理性的得3分；内部架构简单，职责划分含糊，分工不够科学，缺乏合理性的得1分；未提供的不得分。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6、具有明确的管理规章制度：5分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制度完善、精细、操作性强的得5分；制度良好、较简单、操作性一般的得3分；概念笼统、操作性差无针对性的得1分；未提供的不得分。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7、供应商维保档案管理制度：3分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档案管理科学合理、切实可行、可操作性强的得3分；方案较为科学合理、可操作性一般的得2分；操作性差无针对性的得1分，未提供的不得分。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8、针对本项目详细的应急措施：3分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针对本项目应急措施完善、合理、切实可行的得3分；应急措施较为完善实用、可行性较好的得2分；施不全面、内容简略、无针对性的得1分；未提供的不得分。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9、对采购人人员的培训和技术支持：3分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对采购人人员培训支持方案详细、内容详细、针对性强的得3分；方案内容较为详细、针对性较强的得2分；方案一般、内容简略、无针对性的得1分；未提供的不得分。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10、设备售后服务配置体系及备用机方案：6分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设备售后服务配置体系方案详尽的，备用设备满足、符合项目需求，操作性强的得6分；配合方案较为详尽、较为精细的，与项目特性稍有偏差，操作性较强的得3分；方案笼统、与项目性质有实质性偏离，操作性差的得1分；未提供的不得分。</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（三）履约能力（15分）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1.故障维修时效（9分）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承诺接到采购人故障报修通知后15分钟内完成响应得9分；承诺接到采购人通知后30分钟内完成响应得6分；承诺接到采购人通知后1小时内完成响应得3分；未提供的不得分。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2、2022年1月1日起至今（以合同签订之日起）响应单位具有类似项目业绩的，每提供一个得2分，最高得6分。</w:t>
      </w:r>
      <w:r/>
    </w:p>
    <w:p>
      <w:pPr>
        <w:ind w:firstLine="422"/>
        <w:spacing w:line="360" w:lineRule="auto"/>
        <w:rPr>
          <w:rFonts w:ascii="宋体" w:hAnsi="宋体" w:cs="宋体"/>
          <w:color w:val="auto"/>
          <w:szCs w:val="21"/>
          <w:highlight w:val="none"/>
          <w:lang w:val="zh-CN"/>
        </w:rPr>
      </w:pPr>
      <w:r>
        <w:rPr>
          <w:rFonts w:hint="eastAsia" w:ascii="宋体" w:hAnsi="宋体" w:cs="宋体"/>
          <w:b/>
          <w:bCs/>
          <w:color w:val="auto"/>
          <w:sz w:val="21"/>
          <w:szCs w:val="21"/>
          <w:highlight w:val="none"/>
        </w:rPr>
        <w:t xml:space="preserve">（注：响应文件中需提供合同复印件并加盖响应单位公章，合同必须提供合同的全部内容任何部位不得有遮挡、涂改内容，未按要求提供或不提供不得分。）</w:t>
      </w:r>
      <w:r/>
    </w:p>
    <w:p>
      <w:pPr>
        <w:pStyle w:val="908"/>
        <w:rPr>
          <w:color w:val="auto"/>
          <w:highlight w:val="none"/>
        </w:rPr>
      </w:pPr>
      <w:r>
        <w:rPr>
          <w:color w:val="auto"/>
          <w:highlight w:val="none"/>
        </w:rPr>
      </w:r>
      <w:r/>
    </w:p>
    <w:p>
      <w:pPr>
        <w:numPr>
          <w:ilvl w:val="0"/>
          <w:numId w:val="4"/>
        </w:num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其他说明：</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1、报价超过采购预算或付款步骤、服务期限有负偏离的将不进入综合评审程序，也不得成交。</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2、针对评分标准中评分的每一条，磋商响应单位均应提供相关资料并作出相应说明供评委评判，不提供相关资料的视为不具备该项得分的条件。</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3、采购文件中要求加盖响应单位公章的，可用电子签章代替；要求提供复印件的，也可提供扫描件。</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响应单位必须保证全部响应资料的真实性，如有虚假或对磋商文件所要求说明的情况故意隐瞒或虚报，视为不实质性响应磋商文件，为无效响应，已成交的将取消成交资格，并按《中华人民共和国政府采购法》第七十七条“提供虚假材料谋取中标、成交”相关处理办法处理。</w:t>
      </w:r>
      <w:r/>
    </w:p>
    <w:p>
      <w:pPr>
        <w:pStyle w:val="913"/>
        <w:ind w:left="0"/>
        <w:rPr>
          <w:rFonts w:hint="default" w:ascii="宋体" w:hAnsi="宋体" w:eastAsia="宋体" w:cs="宋体"/>
          <w:color w:val="auto"/>
          <w:highlight w:val="none"/>
        </w:rPr>
      </w:pPr>
      <w:r>
        <w:rPr>
          <w:rFonts w:hint="default" w:ascii="宋体" w:hAnsi="宋体" w:eastAsia="宋体" w:cs="宋体"/>
          <w:color w:val="auto"/>
          <w:highlight w:val="none"/>
        </w:rPr>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643"/>
        <w:jc w:val="center"/>
        <w:pageBreakBefore/>
        <w:spacing w:line="360" w:lineRule="auto"/>
        <w:tabs>
          <w:tab w:val="left" w:pos="315" w:leader="none"/>
          <w:tab w:val="center" w:pos="4153" w:leader="none"/>
        </w:tabs>
        <w:rPr>
          <w:rFonts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四、合同主要条款</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甲方（采购单位）：</w:t>
      </w:r>
      <w:r>
        <w:rPr>
          <w:rFonts w:hint="eastAsia" w:ascii="宋体" w:hAnsi="宋体" w:cs="宋体"/>
          <w:color w:val="auto"/>
          <w:szCs w:val="21"/>
          <w:highlight w:val="none"/>
          <w:lang w:eastAsia="zh-CN"/>
        </w:rPr>
        <w:t xml:space="preserve">苏州市吴中区人民法院</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地址：</w:t>
      </w:r>
      <w:r>
        <w:rPr>
          <w:rFonts w:hint="eastAsia" w:ascii="宋体" w:hAnsi="宋体" w:cs="宋体"/>
          <w:color w:val="auto"/>
          <w:szCs w:val="21"/>
          <w:highlight w:val="none"/>
          <w:lang w:val="en-US" w:eastAsia="zh-CN"/>
        </w:rPr>
        <w:t xml:space="preserve"> </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 </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lang w:val="en-US" w:eastAsia="zh-CN"/>
        </w:rPr>
        <w:t xml:space="preserve"> </w:t>
      </w:r>
      <w:r/>
    </w:p>
    <w:p>
      <w:pPr>
        <w:ind w:firstLine="420"/>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ind w:firstLine="420"/>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乙方（成交单位）：</w:t>
      </w:r>
      <w:r/>
    </w:p>
    <w:p>
      <w:pPr>
        <w:ind w:firstLine="420"/>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统一社会信用代码：</w:t>
      </w:r>
      <w:r/>
    </w:p>
    <w:p>
      <w:pPr>
        <w:ind w:firstLine="420"/>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地址：</w:t>
      </w:r>
      <w:r/>
    </w:p>
    <w:p>
      <w:pPr>
        <w:ind w:firstLine="420"/>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联系人：</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联系电话：</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根据《中华人民共和国民法典》、《中华人民共和国政府采购法》等相关法律法规的规定以及苏州市政府采购采购编号【            】号的采购文件、乙方的响应文件和成交通知书，甲乙双方就此次成交的</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事宜，签订本合同书，以兹共同遵守。</w:t>
      </w:r>
      <w:r/>
    </w:p>
    <w:p>
      <w:pPr>
        <w:ind w:firstLine="422"/>
        <w:spacing w:line="360" w:lineRule="auto"/>
        <w:tabs>
          <w:tab w:val="left" w:pos="0" w:leader="none"/>
        </w:tabs>
        <w:rPr>
          <w:rFonts w:ascii="宋体"/>
          <w:b/>
          <w:bCs/>
          <w:color w:val="auto"/>
          <w:szCs w:val="21"/>
          <w:highlight w:val="none"/>
          <w:lang w:val="zh-CN"/>
        </w:rPr>
      </w:pPr>
      <w:r>
        <w:rPr>
          <w:rFonts w:hint="eastAsia" w:ascii="宋体"/>
          <w:b/>
          <w:bCs/>
          <w:color w:val="auto"/>
          <w:szCs w:val="21"/>
          <w:highlight w:val="none"/>
          <w:lang w:val="zh-CN"/>
        </w:rPr>
        <w:t xml:space="preserve">一、合同内容：</w:t>
      </w:r>
      <w:r/>
    </w:p>
    <w:p>
      <w:pPr>
        <w:ind w:firstLine="420"/>
        <w:spacing w:line="360" w:lineRule="auto"/>
        <w:tabs>
          <w:tab w:val="left" w:pos="0" w:leader="none"/>
        </w:tabs>
        <w:rPr>
          <w:rFonts w:ascii="宋体"/>
          <w:color w:val="auto"/>
          <w:szCs w:val="21"/>
          <w:highlight w:val="none"/>
          <w:lang w:val="zh-CN"/>
        </w:rPr>
      </w:pPr>
      <w:r>
        <w:rPr>
          <w:rFonts w:hint="eastAsia" w:ascii="宋体"/>
          <w:color w:val="auto"/>
          <w:szCs w:val="21"/>
          <w:highlight w:val="none"/>
          <w:lang w:val="zh-CN"/>
        </w:rPr>
        <w:t xml:space="preserve">1．乙方负责完成甲方的</w:t>
      </w:r>
      <w:r>
        <w:rPr>
          <w:rFonts w:hint="eastAsia" w:ascii="宋体"/>
          <w:color w:val="auto"/>
          <w:szCs w:val="21"/>
          <w:highlight w:val="none"/>
          <w:u w:val="single"/>
          <w:lang w:val="en-US" w:eastAsia="zh-CN"/>
        </w:rPr>
        <w:t xml:space="preserve">              </w:t>
      </w:r>
      <w:r>
        <w:rPr>
          <w:rFonts w:hint="eastAsia" w:ascii="宋体"/>
          <w:color w:val="auto"/>
          <w:szCs w:val="21"/>
          <w:highlight w:val="none"/>
          <w:lang w:val="zh-CN"/>
        </w:rPr>
        <w:t xml:space="preserve">。</w:t>
      </w:r>
      <w:r/>
    </w:p>
    <w:p>
      <w:pPr>
        <w:ind w:firstLine="420"/>
        <w:spacing w:line="360" w:lineRule="auto"/>
        <w:tabs>
          <w:tab w:val="left" w:pos="0" w:leader="none"/>
        </w:tabs>
        <w:rPr>
          <w:rFonts w:ascii="宋体"/>
          <w:color w:val="auto"/>
          <w:szCs w:val="21"/>
          <w:highlight w:val="none"/>
          <w:lang w:val="zh-CN"/>
        </w:rPr>
      </w:pPr>
      <w:r>
        <w:rPr>
          <w:rFonts w:hint="eastAsia" w:ascii="宋体"/>
          <w:color w:val="auto"/>
          <w:szCs w:val="21"/>
          <w:highlight w:val="none"/>
          <w:lang w:val="zh-CN"/>
        </w:rPr>
        <w:t xml:space="preserve">2．下列文件为本合同不可分割部分，与本合同具有同等法律效力：</w:t>
      </w:r>
      <w:r/>
    </w:p>
    <w:p>
      <w:pPr>
        <w:ind w:firstLine="420"/>
        <w:spacing w:line="360" w:lineRule="auto"/>
        <w:tabs>
          <w:tab w:val="left" w:pos="0" w:leader="none"/>
        </w:tabs>
        <w:rPr>
          <w:rFonts w:ascii="宋体"/>
          <w:color w:val="auto"/>
          <w:szCs w:val="21"/>
          <w:highlight w:val="none"/>
          <w:lang w:val="zh-CN"/>
        </w:rPr>
      </w:pPr>
      <w:r>
        <w:rPr>
          <w:rFonts w:hint="eastAsia" w:ascii="宋体"/>
          <w:color w:val="auto"/>
          <w:szCs w:val="21"/>
          <w:highlight w:val="none"/>
          <w:lang w:val="zh-CN"/>
        </w:rPr>
        <w:t xml:space="preserve">      ①成交通知书；</w:t>
      </w:r>
      <w:r/>
    </w:p>
    <w:p>
      <w:pPr>
        <w:ind w:firstLine="420"/>
        <w:spacing w:line="360" w:lineRule="auto"/>
        <w:tabs>
          <w:tab w:val="left" w:pos="0" w:leader="none"/>
        </w:tabs>
        <w:rPr>
          <w:rFonts w:ascii="宋体"/>
          <w:color w:val="auto"/>
          <w:szCs w:val="21"/>
          <w:highlight w:val="none"/>
          <w:lang w:val="zh-CN"/>
        </w:rPr>
      </w:pPr>
      <w:r>
        <w:rPr>
          <w:rFonts w:hint="eastAsia" w:ascii="宋体"/>
          <w:color w:val="auto"/>
          <w:szCs w:val="21"/>
          <w:highlight w:val="none"/>
          <w:lang w:val="zh-CN"/>
        </w:rPr>
        <w:t xml:space="preserve">      ②采购文件及其他补充文件（如有）；</w:t>
      </w:r>
      <w:r/>
    </w:p>
    <w:p>
      <w:pPr>
        <w:ind w:firstLine="420"/>
        <w:spacing w:line="360" w:lineRule="auto"/>
        <w:tabs>
          <w:tab w:val="left" w:pos="0" w:leader="none"/>
        </w:tabs>
        <w:rPr>
          <w:rFonts w:ascii="宋体"/>
          <w:color w:val="auto"/>
          <w:szCs w:val="21"/>
          <w:highlight w:val="none"/>
          <w:lang w:val="zh-CN"/>
        </w:rPr>
      </w:pPr>
      <w:r>
        <w:rPr>
          <w:rFonts w:hint="eastAsia" w:ascii="宋体"/>
          <w:color w:val="auto"/>
          <w:szCs w:val="21"/>
          <w:highlight w:val="none"/>
          <w:lang w:val="zh-CN"/>
        </w:rPr>
        <w:t xml:space="preserve">      ③乙方中标的响应文件；</w:t>
      </w:r>
      <w:r/>
    </w:p>
    <w:p>
      <w:pPr>
        <w:ind w:firstLine="420"/>
        <w:spacing w:line="360" w:lineRule="auto"/>
        <w:tabs>
          <w:tab w:val="left" w:pos="0" w:leader="none"/>
        </w:tabs>
        <w:rPr>
          <w:rFonts w:ascii="宋体"/>
          <w:color w:val="auto"/>
          <w:szCs w:val="21"/>
          <w:highlight w:val="none"/>
          <w:lang w:val="zh-CN"/>
        </w:rPr>
      </w:pPr>
      <w:r>
        <w:rPr>
          <w:rFonts w:hint="eastAsia" w:ascii="宋体"/>
          <w:color w:val="auto"/>
          <w:szCs w:val="21"/>
          <w:highlight w:val="none"/>
          <w:lang w:val="zh-CN"/>
        </w:rPr>
        <w:t xml:space="preserve">      ④乙方在招投标过程中所作的其它书面承诺、声明、澄清等。</w:t>
      </w:r>
      <w:r/>
    </w:p>
    <w:p>
      <w:pPr>
        <w:ind w:left="45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3.服务</w:t>
      </w:r>
      <w:r>
        <w:rPr>
          <w:rFonts w:hint="eastAsia" w:ascii="宋体" w:hAnsi="宋体" w:cs="宋体"/>
          <w:color w:val="auto"/>
          <w:szCs w:val="21"/>
          <w:highlight w:val="none"/>
          <w:lang w:val="en-US" w:eastAsia="zh-CN"/>
        </w:rPr>
        <w:t xml:space="preserve">内容</w:t>
      </w:r>
      <w:r>
        <w:rPr>
          <w:rFonts w:hint="eastAsia" w:ascii="宋体" w:hAnsi="宋体" w:cs="宋体"/>
          <w:color w:val="auto"/>
          <w:szCs w:val="21"/>
          <w:highlight w:val="none"/>
        </w:rPr>
        <w:t xml:space="preserve">：详见采购文件要求。</w:t>
      </w:r>
      <w:r/>
    </w:p>
    <w:p>
      <w:pPr>
        <w:ind w:left="45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4.服务时间：12个月，自  年  月   日至   年   月   日。</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二、下列文件为本合同不可分割部分：</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①中标通知书；</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②采购文件；</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③乙方中标的投标书；</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④乙方在采购过程中所作的其它承诺、声明、书面澄清等。</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三、价格与支付：</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本合同成交总价为人民币万元（大写</w:t>
      </w:r>
      <w:r>
        <w:rPr>
          <w:rFonts w:hint="eastAsia" w:ascii="宋体" w:hAnsi="宋体" w:cs="宋体"/>
          <w:color w:val="auto"/>
          <w:szCs w:val="21"/>
          <w:highlight w:val="none"/>
          <w:u w:val="single"/>
        </w:rPr>
        <w:t xml:space="preserve"> 人民币         元整  </w:t>
      </w:r>
      <w:r>
        <w:rPr>
          <w:rFonts w:hint="eastAsia" w:ascii="宋体" w:hAnsi="宋体" w:cs="宋体"/>
          <w:color w:val="auto"/>
          <w:szCs w:val="21"/>
          <w:highlight w:val="none"/>
        </w:rPr>
        <w:t xml:space="preserve">），合同价格包括本项目中所有文印设备正常运行所需要的所有消耗品、装订钉、消耗性零件（易损配件）、其它零件（非易损件）等日常的更换、保养、人工、备品备件的维护费用，以及电子签章系统的日常维护和升级费用、材料、管理、利润、税金、服务过程中政策性文件规定及合同中包含的所有风险、责任等各项应有费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w:t>
      </w:r>
      <w:bookmarkStart w:id="12" w:name="_Toc116711409"/>
      <w:r>
        <w:rPr>
          <w:rFonts w:hint="eastAsia" w:ascii="宋体" w:hAnsi="宋体" w:cs="宋体"/>
          <w:color w:val="auto"/>
          <w:szCs w:val="21"/>
          <w:highlight w:val="none"/>
        </w:rPr>
        <w:t xml:space="preserve">支付步骤和比例：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合同签订生效后，甲方支付合同总价的10%作为预付款；合同签订后；乙方在合同内约定每月的抄表日期，抄取每一台文印设备当月所使用的黑白/彩色文印输出的读数，按照报价中的单价计算，以此为基础计算出甲方每季度实际需支付金额并开具发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（2）在签订合同时，乙方明确表示无需预付款或者主动要求降低预付款比例的，甲方可不适用上述关于预付款的规定。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、乙方要求付款应提供以下资料：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（1）合格的发票。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（2）其他（如有）。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、支付方式：银行电汇或转账。</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乙方信息如下：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开户行：[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户名：[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账号：[                                                ]</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纳税人识别号/统一社会信用代码：[                       ]</w:t>
      </w:r>
      <w:r>
        <w:rPr>
          <w:rFonts w:hint="eastAsia" w:ascii="宋体" w:hAnsi="宋体" w:cs="宋体"/>
          <w:color w:val="auto"/>
          <w:szCs w:val="21"/>
          <w:highlight w:val="none"/>
          <w:lang w:val="en-US" w:eastAsia="zh-CN"/>
        </w:rPr>
        <w:t xml:space="preserve">：</w:t>
      </w:r>
      <w:r/>
    </w:p>
    <w:p>
      <w:pPr>
        <w:spacing w:line="360" w:lineRule="auto"/>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rPr>
        <w:t xml:space="preserve">四、</w:t>
      </w:r>
      <w:bookmarkEnd w:id="12"/>
      <w:r>
        <w:rPr>
          <w:rFonts w:hint="eastAsia" w:ascii="宋体" w:hAnsi="宋体" w:cs="宋体"/>
          <w:b/>
          <w:color w:val="auto"/>
          <w:szCs w:val="21"/>
          <w:highlight w:val="none"/>
          <w:lang w:val="en-US" w:eastAsia="zh-CN"/>
        </w:rPr>
        <w:t xml:space="preserve">验收</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1.履约验收标准：根据国家相关法律法规、行业相关标准、政府采购合同要求、采购文件要求、响应文件的承诺。</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2.履约验收主体：由甲方进行验收。</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履约验收方式：乙方应当按照政府采购合同的约定，配合甲方做好项目验收，提供与验收相关的生产、技术、服务、数量、质量、安全等资料，根据实际需要做好技术说明等工作，并对所提供资料和材料的真实性负责。验收结束后,出具验收书，列明各分项标准的验收情况及项目总体评价，由验收双方共同签署。相关检测（检验）费用或验收小组成员中的专业技术人员费用由乙方承担。</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4.其他验收要求按照《江苏省政府采购履约验收管理办法》规定执行。</w:t>
      </w:r>
      <w:r/>
    </w:p>
    <w:p>
      <w:pPr>
        <w:spacing w:line="360" w:lineRule="auto"/>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rPr>
        <w:t xml:space="preserve">五、</w:t>
      </w:r>
      <w:r>
        <w:rPr>
          <w:rFonts w:hint="eastAsia" w:ascii="宋体" w:hAnsi="宋体" w:cs="宋体"/>
          <w:b/>
          <w:color w:val="auto"/>
          <w:szCs w:val="21"/>
          <w:highlight w:val="none"/>
          <w:lang w:val="en-US" w:eastAsia="zh-CN"/>
        </w:rPr>
        <w:t xml:space="preserve">违约责任</w:t>
      </w:r>
      <w:r/>
    </w:p>
    <w:p>
      <w:pPr>
        <w:ind w:firstLine="31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1、甲方违约责任：</w:t>
      </w:r>
      <w:r/>
    </w:p>
    <w:p>
      <w:pPr>
        <w:ind w:firstLine="31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（1）在合同生效后，甲方无理由要求的毁约，应向乙方偿付合同总价款的1%，作为违约金，违约金不足以补偿损失的，乙方有权要求甲方补足。</w:t>
      </w:r>
      <w:r/>
    </w:p>
    <w:p>
      <w:pPr>
        <w:ind w:firstLine="31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（2）甲方逾期付款的，应按照逾期付款金额的每天万分之</w:t>
      </w:r>
      <w:r>
        <w:rPr>
          <w:rFonts w:hint="eastAsia" w:ascii="宋体" w:hAnsi="宋体" w:cs="宋体"/>
          <w:color w:val="auto"/>
          <w:szCs w:val="21"/>
          <w:highlight w:val="none"/>
          <w:lang w:val="en-US" w:eastAsia="zh-CN"/>
        </w:rPr>
        <w:t xml:space="preserve">一</w:t>
      </w:r>
      <w:r>
        <w:rPr>
          <w:rFonts w:hint="eastAsia" w:ascii="宋体" w:hAnsi="宋体" w:cs="宋体"/>
          <w:color w:val="auto"/>
          <w:szCs w:val="21"/>
          <w:highlight w:val="none"/>
        </w:rPr>
        <w:t xml:space="preserve">支付逾期付款违约金。</w:t>
      </w:r>
      <w:r/>
    </w:p>
    <w:p>
      <w:pPr>
        <w:ind w:firstLine="31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（3）甲方违反合同约定，拒绝接受乙方交付的合格技术服务，应当承担乙方由此造成的损失。</w:t>
      </w:r>
      <w:r/>
    </w:p>
    <w:p>
      <w:pPr>
        <w:ind w:firstLine="31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2、乙方违约责任：</w:t>
      </w:r>
      <w:r/>
    </w:p>
    <w:p>
      <w:pPr>
        <w:ind w:firstLine="31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（1）乙方不能按时提供服务（逾期超过十五天视为不能服务），或服务不合格从而影响甲方按期正常使用的，应向甲方偿付合同总价款1%的违约金，违约金不足以补偿损失的甲方有权要求乙方补足。</w:t>
      </w:r>
      <w:r/>
    </w:p>
    <w:p>
      <w:pPr>
        <w:ind w:firstLine="31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（2）乙方逾期服务的，应在事前与甲方和政府采购管理部门协商，甲方仍需求的，乙方应立即提供服务并应按照逾期服务部分的款项的每天万分之四支付逾期违约金，同时承担甲方因此遭致的损失费用。</w:t>
      </w:r>
      <w:r/>
    </w:p>
    <w:p>
      <w:pPr>
        <w:ind w:firstLine="31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（3）乙方在服务过程中，若有违反磋商文件相关规定及内容的，自愿服从相应罚款。</w:t>
      </w:r>
      <w:r/>
    </w:p>
    <w:p>
      <w:pPr>
        <w:spacing w:line="360" w:lineRule="auto"/>
        <w:rPr>
          <w:rFonts w:ascii="宋体" w:hAnsi="宋体" w:cs="宋体"/>
          <w:b/>
          <w:bCs/>
          <w:color w:val="auto"/>
          <w:szCs w:val="21"/>
          <w:highlight w:val="none"/>
        </w:rPr>
      </w:pPr>
      <w:r/>
      <w:bookmarkStart w:id="13" w:name="_Toc116711414"/>
      <w:r>
        <w:rPr>
          <w:rFonts w:hint="eastAsia" w:ascii="宋体" w:hAnsi="宋体" w:cs="宋体"/>
          <w:b/>
          <w:bCs/>
          <w:color w:val="auto"/>
          <w:szCs w:val="21"/>
          <w:highlight w:val="none"/>
          <w:lang w:val="en-US" w:eastAsia="zh-CN"/>
        </w:rPr>
        <w:t xml:space="preserve">六、</w:t>
      </w:r>
      <w:r>
        <w:rPr>
          <w:rFonts w:hint="eastAsia" w:ascii="宋体" w:hAnsi="宋体" w:cs="宋体"/>
          <w:b/>
          <w:bCs/>
          <w:color w:val="auto"/>
          <w:szCs w:val="21"/>
          <w:highlight w:val="none"/>
        </w:rPr>
        <w:t xml:space="preserve">不可抗力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因不可抗力不能履行合同的，根据不可抗力的影响，部分或者全部免除责任。但合同一方迟延履行后发生不可抗力的，不能免除责任。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合同一方因不可抗力不能履行合同的，应当及时通知对方，以减轻可能给对方造成的损失，并应当在合理期限内提供证明。</w:t>
      </w:r>
      <w:bookmarkEnd w:id="13"/>
      <w:r/>
    </w:p>
    <w:p>
      <w:pPr>
        <w:spacing w:line="360" w:lineRule="auto"/>
        <w:rPr>
          <w:rFonts w:hint="eastAsia" w:ascii="宋体" w:hAnsi="宋体" w:cs="宋体"/>
          <w:b/>
          <w:bCs/>
          <w:color w:val="auto"/>
          <w:szCs w:val="21"/>
          <w:highlight w:val="none"/>
          <w:lang w:val="zh-CN"/>
        </w:rPr>
      </w:pPr>
      <w:r/>
      <w:bookmarkStart w:id="14" w:name="_Toc116711417"/>
      <w:r>
        <w:rPr>
          <w:rFonts w:hint="eastAsia" w:ascii="宋体" w:hAnsi="宋体" w:cs="宋体"/>
          <w:b/>
          <w:bCs/>
          <w:color w:val="auto"/>
          <w:szCs w:val="21"/>
          <w:highlight w:val="none"/>
          <w:lang w:val="zh-CN"/>
        </w:rPr>
        <w:t xml:space="preserve">七、保密条款</w:t>
      </w:r>
      <w:r/>
    </w:p>
    <w:p>
      <w:pPr>
        <w:ind w:firstLine="420"/>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t xml:space="preserve">1</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lang w:val="zh-CN" w:eastAsia="zh-CN"/>
        </w:rPr>
        <w:t xml:space="preserve">甲乙双方对在本合同签订、履行过程中知悉的对方资料和信息，除该方作相反的书面说明外，均应视为该方的商业秘密，未经该方书面同意不得向任何第三方泄漏。任何一方因违反保密义务而给另一方造成损失的，应负相应的赔偿责任。无论合同是否变更、解除或终止，合同的保密条款不受其限制而继续有效，双方都应继续承担保密条款约定的保密义务。</w:t>
      </w:r>
      <w:r/>
    </w:p>
    <w:p>
      <w:pPr>
        <w:ind w:firstLine="420"/>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t xml:space="preserve">2</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lang w:val="zh-CN" w:eastAsia="zh-CN"/>
        </w:rPr>
        <w:t xml:space="preserve">乙方应与其派驻现场实施维护服务的人员签订保密协议，并进行备案。</w:t>
      </w:r>
      <w:r/>
    </w:p>
    <w:p>
      <w:pPr>
        <w:spacing w:line="360" w:lineRule="auto"/>
        <w:rPr>
          <w:rFonts w:hint="eastAsia" w:ascii="宋体" w:hAnsi="宋体" w:cs="宋体"/>
          <w:b/>
          <w:bCs/>
          <w:color w:val="auto"/>
          <w:szCs w:val="21"/>
          <w:highlight w:val="none"/>
          <w:lang w:val="zh-CN" w:eastAsia="zh-CN"/>
        </w:rPr>
      </w:pPr>
      <w:r>
        <w:rPr>
          <w:rFonts w:hint="eastAsia" w:ascii="宋体" w:hAnsi="宋体" w:cs="宋体"/>
          <w:b/>
          <w:bCs/>
          <w:color w:val="auto"/>
          <w:szCs w:val="21"/>
          <w:highlight w:val="none"/>
          <w:lang w:val="en-US" w:eastAsia="zh-CN"/>
        </w:rPr>
        <w:t xml:space="preserve">八</w:t>
      </w:r>
      <w:r>
        <w:rPr>
          <w:rFonts w:hint="eastAsia" w:ascii="宋体" w:hAnsi="宋体" w:cs="宋体"/>
          <w:b/>
          <w:bCs/>
          <w:color w:val="auto"/>
          <w:szCs w:val="21"/>
          <w:highlight w:val="none"/>
          <w:lang w:val="zh-CN" w:eastAsia="zh-CN"/>
        </w:rPr>
        <w:t xml:space="preserve">、知识产权</w:t>
      </w:r>
      <w:r/>
    </w:p>
    <w:p>
      <w:pPr>
        <w:ind w:firstLine="420"/>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t xml:space="preserve">1</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lang w:val="zh-CN" w:eastAsia="zh-CN"/>
        </w:rPr>
        <w:t xml:space="preserve">乙方应保证所提供服务涉及到的知识产权是合法取得，并享有完整的知识产权，不会因为甲方的使用而被责令停止使用、追偿或要求赔偿损失，如出现此情况，一切经济和法律责任均由乙方承担。乙方提供的所有服务必须质量符合国家通用标准，如出现质量问题，乙方负责修缮，发生的费用由乙方负责。</w:t>
      </w:r>
      <w:r/>
    </w:p>
    <w:p>
      <w:pPr>
        <w:spacing w:line="360" w:lineRule="auto"/>
        <w:rPr>
          <w:rFonts w:ascii="宋体" w:hAnsi="宋体" w:cs="宋体"/>
          <w:color w:val="auto"/>
          <w:szCs w:val="21"/>
          <w:highlight w:val="none"/>
        </w:rPr>
      </w:pPr>
      <w:r>
        <w:rPr>
          <w:rFonts w:hint="eastAsia" w:ascii="宋体" w:hAnsi="宋体" w:cs="宋体"/>
          <w:b/>
          <w:bCs/>
          <w:color w:val="auto"/>
          <w:szCs w:val="21"/>
          <w:highlight w:val="none"/>
          <w:lang w:val="en-US" w:eastAsia="zh-CN"/>
        </w:rPr>
        <w:t xml:space="preserve">九、</w:t>
      </w:r>
      <w:r>
        <w:rPr>
          <w:rFonts w:hint="eastAsia" w:ascii="宋体" w:hAnsi="宋体" w:cs="宋体"/>
          <w:b/>
          <w:bCs/>
          <w:color w:val="auto"/>
          <w:szCs w:val="21"/>
          <w:highlight w:val="none"/>
          <w:lang w:val="zh-CN"/>
        </w:rPr>
        <w:t xml:space="preserve">合同的解除和转让</w:t>
      </w:r>
      <w:r/>
    </w:p>
    <w:p>
      <w:pPr>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（一）合同的解除</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1、在合同有效期内一方不得擅自变更或中止此项合同，如未经双方书面同意，擅自变更或中止此项的一方自行承担违约责任。</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val="zh-CN"/>
        </w:rPr>
        <w:t xml:space="preserve">、有下列情形之一，合同一方可以解除合同：</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val="zh-CN"/>
        </w:rPr>
        <w:t xml:space="preserve">.1 因不可抗力致使不能实现合同目的，未受不可抗力影响的一方有权解除合同；</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val="zh-CN"/>
        </w:rPr>
        <w:t xml:space="preserve">.2 因合同一方违约导致合同不能履行，另一方有权解除合同。</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val="zh-CN"/>
        </w:rPr>
        <w:t xml:space="preserve">.3若成交单位在项目服务工作期间出现重大安全、责任事故，质量考核严重不合格，或按照乙方违约责任中相关条款应当解除合同的，甲方有权解除合同并按违约要求追究赔偿损失。</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rPr>
        <w:t xml:space="preserve">、有权解除合同的一方，应当在违约事实或不可抗力发生之后三十天内书面通知对方以主张解除合同，合同在书面通知到达对方时解除。</w:t>
      </w:r>
      <w:r/>
    </w:p>
    <w:p>
      <w:pPr>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（二）合同的转让</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     合同的部分和全部均不得转让。</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en-US" w:eastAsia="zh-CN"/>
        </w:rPr>
        <w:t xml:space="preserve">十</w:t>
      </w:r>
      <w:r>
        <w:rPr>
          <w:rFonts w:hint="eastAsia" w:ascii="宋体" w:hAnsi="宋体" w:cs="宋体"/>
          <w:b/>
          <w:bCs/>
          <w:color w:val="auto"/>
          <w:szCs w:val="21"/>
          <w:highlight w:val="none"/>
          <w:lang w:val="zh-CN"/>
        </w:rPr>
        <w:t xml:space="preserve">、争议解决</w:t>
      </w:r>
      <w:r/>
    </w:p>
    <w:p>
      <w:pPr>
        <w:ind w:firstLine="420"/>
        <w:jc w:val="left"/>
        <w:spacing w:line="360" w:lineRule="auto"/>
        <w:rPr>
          <w:rFonts w:ascii="宋体" w:hAnsi="宋体" w:cs="宋体"/>
          <w:color w:val="auto"/>
          <w:szCs w:val="21"/>
          <w:highlight w:val="none"/>
        </w:rPr>
      </w:pPr>
      <w:r>
        <w:rPr>
          <w:rFonts w:hint="eastAsia" w:ascii="宋体"/>
          <w:color w:val="auto"/>
          <w:szCs w:val="21"/>
          <w:highlight w:val="none"/>
          <w:lang w:val="zh-CN"/>
        </w:rPr>
        <w:t xml:space="preserve">合同签订后甲乙双方即直接产生权利与义务的关系，合同执行过程中出现的问题应按照《中华人民共和国民法典》的规定办理，在合同履行过程中，双方如有争议，经协商无效，任何一方可向甲方所在地人民法院提起诉讼</w:t>
      </w:r>
      <w:r>
        <w:rPr>
          <w:rFonts w:hint="eastAsia" w:ascii="宋体" w:hAnsi="宋体" w:cs="宋体"/>
          <w:color w:val="auto"/>
          <w:szCs w:val="21"/>
          <w:highlight w:val="none"/>
        </w:rPr>
        <w:t xml:space="preserve">。</w:t>
      </w:r>
      <w:bookmarkEnd w:id="14"/>
      <w:r/>
      <w:r/>
    </w:p>
    <w:p>
      <w:pPr>
        <w:spacing w:line="276" w:lineRule="auto"/>
        <w:rPr>
          <w:rFonts w:ascii="宋体" w:hAnsi="宋体" w:eastAsia="宋体"/>
          <w:b/>
          <w:bCs/>
          <w:color w:val="auto"/>
          <w:szCs w:val="21"/>
          <w:highlight w:val="none"/>
        </w:rPr>
      </w:pPr>
      <w:r>
        <w:rPr>
          <w:rFonts w:hint="eastAsia" w:ascii="宋体" w:hAnsi="宋体" w:cs="宋体"/>
          <w:b/>
          <w:color w:val="auto"/>
          <w:szCs w:val="21"/>
          <w:highlight w:val="none"/>
          <w:lang w:val="en-US" w:eastAsia="zh-CN"/>
        </w:rPr>
        <w:t xml:space="preserve">十一</w:t>
      </w:r>
      <w:r>
        <w:rPr>
          <w:rFonts w:hint="eastAsia" w:ascii="宋体" w:hAnsi="宋体" w:cs="宋体"/>
          <w:b/>
          <w:color w:val="auto"/>
          <w:szCs w:val="21"/>
          <w:highlight w:val="none"/>
        </w:rPr>
        <w:t xml:space="preserve">、</w:t>
      </w:r>
      <w:r>
        <w:rPr>
          <w:rFonts w:ascii="宋体" w:hAnsi="宋体" w:eastAsia="宋体"/>
          <w:b/>
          <w:bCs/>
          <w:color w:val="auto"/>
          <w:szCs w:val="21"/>
          <w:highlight w:val="none"/>
        </w:rPr>
        <w:t xml:space="preserve">合同修改和补充</w:t>
      </w:r>
      <w:r/>
    </w:p>
    <w:p>
      <w:pPr>
        <w:ind w:firstLine="420"/>
        <w:jc w:val="left"/>
        <w:spacing w:line="360" w:lineRule="auto"/>
        <w:rPr>
          <w:rFonts w:hint="eastAsia" w:ascii="宋体"/>
          <w:color w:val="auto"/>
          <w:szCs w:val="21"/>
          <w:highlight w:val="none"/>
          <w:lang w:val="zh-CN"/>
        </w:rPr>
      </w:pPr>
      <w:r>
        <w:rPr>
          <w:rFonts w:hint="eastAsia" w:ascii="宋体"/>
          <w:color w:val="auto"/>
          <w:szCs w:val="21"/>
          <w:highlight w:val="none"/>
          <w:lang w:val="zh-CN"/>
        </w:rPr>
        <w:t xml:space="preserve">1、甲方和乙方都不得擅自变更本合同，但合同继续履行将损害国家和社会公共利益的除外。在合同履行中，甲方需追加与合同标的物相同的服务，在不改变合同其他条款的前提下，可以与乙方签订补充合同，但所有补充合同的采购金额不得超过原合同采购金额的10%。</w:t>
      </w:r>
      <w:r/>
    </w:p>
    <w:p>
      <w:pPr>
        <w:ind w:firstLine="420"/>
        <w:jc w:val="left"/>
        <w:spacing w:line="360" w:lineRule="auto"/>
        <w:rPr>
          <w:rFonts w:hint="eastAsia" w:ascii="宋体"/>
          <w:color w:val="auto"/>
          <w:szCs w:val="21"/>
          <w:highlight w:val="none"/>
          <w:lang w:val="zh-CN"/>
        </w:rPr>
      </w:pPr>
      <w:r>
        <w:rPr>
          <w:rFonts w:hint="eastAsia" w:ascii="宋体"/>
          <w:color w:val="auto"/>
          <w:szCs w:val="21"/>
          <w:highlight w:val="none"/>
          <w:lang w:val="zh-CN"/>
        </w:rPr>
        <w:t xml:space="preserve">2、合同未尽事宜，合同当事人另行签订补充协议，补充协议是合同的组成部分。</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十二、</w:t>
      </w:r>
      <w:r>
        <w:rPr>
          <w:rFonts w:hint="eastAsia" w:ascii="宋体" w:hAnsi="宋体" w:cs="宋体"/>
          <w:b/>
          <w:color w:val="auto"/>
          <w:szCs w:val="21"/>
          <w:highlight w:val="none"/>
        </w:rPr>
        <w:t xml:space="preserve">合同生效及其它：</w:t>
      </w:r>
      <w:r/>
    </w:p>
    <w:p>
      <w:pPr>
        <w:ind w:firstLine="2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1、本合同经双方法定代表人签字（或盖章）并盖单位公章后生效。</w:t>
      </w:r>
      <w:r/>
    </w:p>
    <w:p>
      <w:pPr>
        <w:ind w:firstLine="44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2、本合同一式肆份，甲方执贰份、乙方执壹份，招标代理机构壹份。</w:t>
      </w:r>
      <w:r/>
    </w:p>
    <w:p>
      <w:pPr>
        <w:ind w:firstLine="420"/>
        <w:spacing w:line="360" w:lineRule="auto"/>
        <w:tabs>
          <w:tab w:val="left" w:pos="0" w:leader="none"/>
        </w:tabs>
        <w:rPr>
          <w:rFonts w:ascii="宋体"/>
          <w:b/>
          <w:bCs/>
          <w:color w:val="auto"/>
          <w:szCs w:val="21"/>
          <w:highlight w:val="none"/>
          <w:lang w:val="zh-CN"/>
        </w:rPr>
      </w:pPr>
      <w:r>
        <w:rPr>
          <w:rFonts w:hint="eastAsia" w:ascii="宋体" w:hAnsi="宋体" w:cs="宋体"/>
          <w:color w:val="auto"/>
          <w:szCs w:val="21"/>
          <w:highlight w:val="none"/>
        </w:rPr>
        <w:t xml:space="preserve">3、合同在执行过程中出现的未尽事宜，双方在不违背本合同和采购文件的原则下协商解决，协商结果以书面形式盖章记录在案，作为本合同的附件，与本合同具有同等效力，但需向招标代理机构提交壹份备存</w:t>
      </w:r>
      <w:r>
        <w:rPr>
          <w:rFonts w:hint="eastAsia" w:ascii="宋体"/>
          <w:color w:val="auto"/>
          <w:szCs w:val="21"/>
          <w:highlight w:val="none"/>
          <w:lang w:val="zh-CN"/>
        </w:rPr>
        <w:t xml:space="preserve">。</w:t>
      </w:r>
      <w:r/>
    </w:p>
    <w:p>
      <w:pPr>
        <w:spacing w:line="360" w:lineRule="auto"/>
        <w:tabs>
          <w:tab w:val="left" w:pos="0" w:leader="none"/>
        </w:tabs>
        <w:rPr>
          <w:rFonts w:ascii="宋体"/>
          <w:color w:val="auto"/>
          <w:szCs w:val="21"/>
          <w:highlight w:val="none"/>
          <w:lang w:val="zh-CN"/>
        </w:rPr>
      </w:pPr>
      <w:r>
        <w:rPr>
          <w:rFonts w:ascii="宋体"/>
          <w:color w:val="auto"/>
          <w:szCs w:val="21"/>
          <w:highlight w:val="none"/>
          <w:lang w:val="zh-CN"/>
        </w:rPr>
      </w:r>
      <w:r/>
    </w:p>
    <w:tbl>
      <w:tblPr>
        <w:tblStyle w:val="720"/>
        <w:tblW w:w="8849" w:type="dxa"/>
        <w:jc w:val="center"/>
        <w:tblLayout w:type="fixed"/>
        <w:tblCellMar>
          <w:left w:w="108" w:type="dxa"/>
          <w:top w:w="0" w:type="dxa"/>
          <w:right w:w="108" w:type="dxa"/>
          <w:bottom w:w="0" w:type="dxa"/>
        </w:tblCellMar>
        <w:tblLook w:val="04A0" w:firstRow="1" w:lastRow="0" w:firstColumn="1" w:lastColumn="0" w:noHBand="0" w:noVBand="1"/>
      </w:tblPr>
      <w:tblGrid>
        <w:gridCol w:w="5473"/>
        <w:gridCol w:w="3376"/>
      </w:tblGrid>
      <w:tr>
        <w:trPr>
          <w:jc w:val="center"/>
          <w:trHeight w:val="604"/>
        </w:trPr>
        <w:tc>
          <w:tcPr>
            <w:tcW w:w="5473" w:type="dxa"/>
            <w:vAlign w:val="center"/>
            <w:textDirection w:val="lrTb"/>
            <w:noWrap w:val="false"/>
          </w:tcPr>
          <w:p>
            <w:pPr>
              <w:spacing w:line="360" w:lineRule="auto"/>
              <w:rPr>
                <w:rFonts w:ascii="宋体" w:hAnsi="宋体" w:cs="宋体"/>
                <w:b/>
                <w:bCs/>
                <w:color w:val="auto"/>
                <w:highlight w:val="none"/>
              </w:rPr>
            </w:pPr>
            <w:r>
              <w:rPr>
                <w:rFonts w:hint="eastAsia" w:ascii="宋体" w:hAnsi="宋体" w:cs="宋体"/>
                <w:b/>
                <w:bCs/>
                <w:color w:val="auto"/>
                <w:highlight w:val="none"/>
              </w:rPr>
              <w:t xml:space="preserve">甲方（盖章）：</w:t>
            </w:r>
            <w:r/>
          </w:p>
        </w:tc>
        <w:tc>
          <w:tcPr>
            <w:tcW w:w="3376" w:type="dxa"/>
            <w:vAlign w:val="center"/>
            <w:textDirection w:val="lrTb"/>
            <w:noWrap w:val="false"/>
          </w:tcPr>
          <w:p>
            <w:pPr>
              <w:spacing w:line="360" w:lineRule="auto"/>
              <w:rPr>
                <w:rFonts w:ascii="宋体" w:hAnsi="宋体" w:cs="宋体"/>
                <w:b/>
                <w:bCs/>
                <w:color w:val="auto"/>
                <w:highlight w:val="none"/>
              </w:rPr>
            </w:pPr>
            <w:r>
              <w:rPr>
                <w:rFonts w:hint="eastAsia" w:ascii="宋体" w:hAnsi="宋体" w:cs="宋体"/>
                <w:b/>
                <w:bCs/>
                <w:color w:val="auto"/>
                <w:highlight w:val="none"/>
              </w:rPr>
              <w:t xml:space="preserve">乙方（盖章）：</w:t>
            </w:r>
            <w:r/>
          </w:p>
        </w:tc>
      </w:tr>
      <w:tr>
        <w:trPr>
          <w:jc w:val="center"/>
        </w:trPr>
        <w:tc>
          <w:tcPr>
            <w:tcW w:w="5473" w:type="dxa"/>
            <w:vAlign w:val="center"/>
            <w:textDirection w:val="lrTb"/>
            <w:noWrap w:val="false"/>
          </w:tcPr>
          <w:p>
            <w:pPr>
              <w:spacing w:line="360" w:lineRule="auto"/>
              <w:rPr>
                <w:rFonts w:ascii="宋体" w:hAnsi="宋体" w:cs="宋体"/>
                <w:b/>
                <w:bCs/>
                <w:color w:val="auto"/>
                <w:highlight w:val="none"/>
              </w:rPr>
            </w:pPr>
            <w:r>
              <w:rPr>
                <w:rFonts w:hint="eastAsia" w:ascii="宋体" w:hAnsi="宋体" w:cs="宋体"/>
                <w:b/>
                <w:bCs/>
                <w:color w:val="auto"/>
                <w:highlight w:val="none"/>
              </w:rPr>
              <w:t xml:space="preserve">法定代表人（签字或盖章）：</w:t>
            </w:r>
            <w:r/>
          </w:p>
        </w:tc>
        <w:tc>
          <w:tcPr>
            <w:tcW w:w="3376" w:type="dxa"/>
            <w:vAlign w:val="center"/>
            <w:textDirection w:val="lrTb"/>
            <w:noWrap w:val="false"/>
          </w:tcPr>
          <w:p>
            <w:pPr>
              <w:spacing w:line="360" w:lineRule="auto"/>
              <w:rPr>
                <w:rFonts w:ascii="宋体" w:hAnsi="宋体" w:cs="宋体"/>
                <w:b/>
                <w:bCs/>
                <w:color w:val="auto"/>
                <w:highlight w:val="none"/>
              </w:rPr>
            </w:pPr>
            <w:r>
              <w:rPr>
                <w:rFonts w:hint="eastAsia" w:ascii="宋体" w:hAnsi="宋体" w:cs="宋体"/>
                <w:b/>
                <w:bCs/>
                <w:color w:val="auto"/>
                <w:highlight w:val="none"/>
              </w:rPr>
              <w:t xml:space="preserve">法定代表人（签字或盖章）：     </w:t>
            </w:r>
            <w:r/>
          </w:p>
        </w:tc>
      </w:tr>
      <w:tr>
        <w:trPr>
          <w:jc w:val="center"/>
        </w:trPr>
        <w:tc>
          <w:tcPr>
            <w:tcW w:w="5473" w:type="dxa"/>
            <w:vAlign w:val="center"/>
            <w:textDirection w:val="lrTb"/>
            <w:noWrap w:val="false"/>
          </w:tcPr>
          <w:p>
            <w:pPr>
              <w:spacing w:line="360" w:lineRule="auto"/>
              <w:rPr>
                <w:rFonts w:ascii="宋体" w:hAnsi="宋体" w:cs="宋体"/>
                <w:b/>
                <w:bCs/>
                <w:color w:val="auto"/>
                <w:highlight w:val="none"/>
              </w:rPr>
            </w:pPr>
            <w:r>
              <w:rPr>
                <w:rFonts w:hint="eastAsia" w:ascii="宋体" w:hAnsi="宋体" w:cs="宋体"/>
                <w:b/>
                <w:bCs/>
                <w:color w:val="auto"/>
                <w:highlight w:val="none"/>
              </w:rPr>
              <w:t xml:space="preserve">日期：</w:t>
            </w:r>
            <w:r/>
          </w:p>
        </w:tc>
        <w:tc>
          <w:tcPr>
            <w:tcW w:w="3376" w:type="dxa"/>
            <w:vAlign w:val="center"/>
            <w:textDirection w:val="lrTb"/>
            <w:noWrap w:val="false"/>
          </w:tcPr>
          <w:p>
            <w:pPr>
              <w:spacing w:line="360" w:lineRule="auto"/>
              <w:rPr>
                <w:rFonts w:ascii="宋体" w:hAnsi="宋体" w:cs="宋体"/>
                <w:b/>
                <w:bCs/>
                <w:color w:val="auto"/>
                <w:highlight w:val="none"/>
              </w:rPr>
            </w:pPr>
            <w:r>
              <w:rPr>
                <w:rFonts w:hint="eastAsia" w:ascii="宋体" w:hAnsi="宋体" w:cs="宋体"/>
                <w:b/>
                <w:bCs/>
                <w:color w:val="auto"/>
                <w:highlight w:val="none"/>
              </w:rPr>
              <w:t xml:space="preserve">日期：</w:t>
            </w:r>
            <w:r/>
          </w:p>
        </w:tc>
      </w:tr>
    </w:tbl>
    <w:p>
      <w:pPr>
        <w:ind w:firstLine="643"/>
        <w:jc w:val="center"/>
        <w:spacing w:line="360" w:lineRule="auto"/>
        <w:tabs>
          <w:tab w:val="left" w:pos="315" w:leader="none"/>
          <w:tab w:val="center" w:pos="4153" w:leader="none"/>
        </w:tabs>
        <w:rPr>
          <w:rFonts w:ascii="宋体" w:hAnsi="宋体" w:cs="宋体"/>
          <w:b/>
          <w:color w:val="auto"/>
          <w:sz w:val="32"/>
          <w:szCs w:val="32"/>
          <w:highlight w:val="none"/>
        </w:rPr>
        <w:outlineLvl w:val="0"/>
      </w:pPr>
      <w:r>
        <w:rPr>
          <w:rFonts w:ascii="宋体" w:hAnsi="宋体" w:cs="宋体"/>
          <w:b/>
          <w:color w:val="auto"/>
          <w:sz w:val="32"/>
          <w:szCs w:val="32"/>
          <w:highlight w:val="none"/>
        </w:rPr>
      </w:r>
      <w:r/>
    </w:p>
    <w:p>
      <w:pPr>
        <w:ind w:firstLine="643"/>
        <w:jc w:val="center"/>
        <w:spacing w:line="360" w:lineRule="auto"/>
        <w:tabs>
          <w:tab w:val="left" w:pos="315" w:leader="none"/>
          <w:tab w:val="center" w:pos="4153" w:leader="none"/>
        </w:tabs>
        <w:rPr>
          <w:rFonts w:ascii="宋体" w:hAnsi="宋体" w:cs="宋体"/>
          <w:b/>
          <w:color w:val="auto"/>
          <w:sz w:val="32"/>
          <w:szCs w:val="32"/>
          <w:highlight w:val="none"/>
        </w:rPr>
        <w:outlineLvl w:val="0"/>
      </w:pPr>
      <w:r>
        <w:rPr>
          <w:rFonts w:ascii="宋体" w:hAnsi="宋体" w:cs="宋体"/>
          <w:b/>
          <w:color w:val="auto"/>
          <w:sz w:val="32"/>
          <w:szCs w:val="32"/>
          <w:highlight w:val="none"/>
        </w:rPr>
      </w:r>
      <w:r/>
    </w:p>
    <w:p>
      <w:pPr>
        <w:pStyle w:val="935"/>
        <w:rPr>
          <w:rFonts w:ascii="宋体" w:hAnsi="宋体" w:cs="宋体"/>
          <w:b/>
          <w:color w:val="auto"/>
          <w:sz w:val="32"/>
          <w:szCs w:val="32"/>
          <w:highlight w:val="none"/>
        </w:rPr>
      </w:pPr>
      <w:r>
        <w:rPr>
          <w:rFonts w:ascii="宋体" w:hAnsi="宋体" w:cs="宋体"/>
          <w:b/>
          <w:color w:val="auto"/>
          <w:sz w:val="32"/>
          <w:szCs w:val="32"/>
          <w:highlight w:val="none"/>
        </w:rPr>
      </w:r>
      <w:r/>
    </w:p>
    <w:p>
      <w:pPr>
        <w:rPr>
          <w:rFonts w:ascii="宋体" w:hAnsi="宋体" w:cs="宋体"/>
          <w:b/>
          <w:color w:val="auto"/>
          <w:sz w:val="32"/>
          <w:szCs w:val="32"/>
          <w:highlight w:val="none"/>
        </w:rPr>
      </w:pPr>
      <w:r>
        <w:rPr>
          <w:rFonts w:ascii="宋体" w:hAnsi="宋体" w:cs="宋体"/>
          <w:b/>
          <w:color w:val="auto"/>
          <w:sz w:val="32"/>
          <w:szCs w:val="32"/>
          <w:highlight w:val="none"/>
        </w:rPr>
      </w:r>
      <w:r/>
    </w:p>
    <w:p>
      <w:pPr>
        <w:pStyle w:val="935"/>
        <w:rPr>
          <w:rFonts w:ascii="宋体" w:hAnsi="宋体" w:cs="宋体"/>
          <w:b/>
          <w:color w:val="auto"/>
          <w:sz w:val="32"/>
          <w:szCs w:val="32"/>
          <w:highlight w:val="none"/>
        </w:rPr>
      </w:pPr>
      <w:r>
        <w:rPr>
          <w:rFonts w:ascii="宋体" w:hAnsi="宋体" w:cs="宋体"/>
          <w:b/>
          <w:color w:val="auto"/>
          <w:sz w:val="32"/>
          <w:szCs w:val="32"/>
          <w:highlight w:val="none"/>
        </w:rPr>
      </w:r>
      <w:r/>
    </w:p>
    <w:p>
      <w:pPr>
        <w:rPr>
          <w:rFonts w:ascii="宋体" w:hAnsi="宋体" w:cs="宋体"/>
          <w:b/>
          <w:color w:val="auto"/>
          <w:sz w:val="32"/>
          <w:szCs w:val="32"/>
          <w:highlight w:val="none"/>
        </w:rPr>
      </w:pPr>
      <w:r>
        <w:rPr>
          <w:rFonts w:ascii="宋体" w:hAnsi="宋体" w:cs="宋体"/>
          <w:b/>
          <w:color w:val="auto"/>
          <w:sz w:val="32"/>
          <w:szCs w:val="32"/>
          <w:highlight w:val="none"/>
        </w:rPr>
      </w:r>
      <w:r/>
    </w:p>
    <w:p>
      <w:pPr>
        <w:pStyle w:val="935"/>
        <w:rPr>
          <w:rFonts w:ascii="宋体" w:hAnsi="宋体" w:cs="宋体"/>
          <w:b/>
          <w:color w:val="auto"/>
          <w:sz w:val="32"/>
          <w:szCs w:val="32"/>
          <w:highlight w:val="none"/>
        </w:rPr>
      </w:pPr>
      <w:r>
        <w:rPr>
          <w:rFonts w:ascii="宋体" w:hAnsi="宋体" w:cs="宋体"/>
          <w:b/>
          <w:color w:val="auto"/>
          <w:sz w:val="32"/>
          <w:szCs w:val="32"/>
          <w:highlight w:val="none"/>
        </w:rPr>
      </w:r>
      <w:r/>
    </w:p>
    <w:p>
      <w:pPr>
        <w:rPr>
          <w:rFonts w:ascii="宋体" w:hAnsi="宋体" w:cs="宋体"/>
          <w:b/>
          <w:color w:val="auto"/>
          <w:sz w:val="32"/>
          <w:szCs w:val="32"/>
          <w:highlight w:val="none"/>
        </w:rPr>
      </w:pPr>
      <w:r>
        <w:rPr>
          <w:rFonts w:ascii="宋体" w:hAnsi="宋体" w:cs="宋体"/>
          <w:b/>
          <w:color w:val="auto"/>
          <w:sz w:val="32"/>
          <w:szCs w:val="32"/>
          <w:highlight w:val="none"/>
        </w:rPr>
      </w:r>
      <w:r/>
    </w:p>
    <w:p>
      <w:pPr>
        <w:pStyle w:val="935"/>
        <w:rPr>
          <w:rFonts w:ascii="宋体" w:hAnsi="宋体" w:cs="宋体"/>
          <w:b/>
          <w:color w:val="auto"/>
          <w:sz w:val="32"/>
          <w:szCs w:val="32"/>
          <w:highlight w:val="none"/>
        </w:rPr>
      </w:pPr>
      <w:r>
        <w:rPr>
          <w:rFonts w:ascii="宋体" w:hAnsi="宋体" w:cs="宋体"/>
          <w:b/>
          <w:color w:val="auto"/>
          <w:sz w:val="32"/>
          <w:szCs w:val="32"/>
          <w:highlight w:val="none"/>
        </w:rPr>
      </w:r>
      <w:r/>
    </w:p>
    <w:p>
      <w:pPr>
        <w:rPr>
          <w:rFonts w:ascii="宋体" w:hAnsi="宋体" w:cs="宋体"/>
          <w:b/>
          <w:color w:val="auto"/>
          <w:sz w:val="32"/>
          <w:szCs w:val="32"/>
          <w:highlight w:val="none"/>
        </w:rPr>
      </w:pPr>
      <w:r>
        <w:rPr>
          <w:rFonts w:ascii="宋体" w:hAnsi="宋体" w:cs="宋体"/>
          <w:b/>
          <w:color w:val="auto"/>
          <w:sz w:val="32"/>
          <w:szCs w:val="32"/>
          <w:highlight w:val="none"/>
        </w:rPr>
      </w:r>
      <w:r/>
    </w:p>
    <w:p>
      <w:pPr>
        <w:pStyle w:val="935"/>
        <w:rPr>
          <w:rFonts w:ascii="宋体" w:hAnsi="宋体" w:cs="宋体"/>
          <w:b/>
          <w:color w:val="auto"/>
          <w:sz w:val="32"/>
          <w:szCs w:val="32"/>
          <w:highlight w:val="none"/>
        </w:rPr>
      </w:pPr>
      <w:r>
        <w:rPr>
          <w:rFonts w:ascii="宋体" w:hAnsi="宋体" w:cs="宋体"/>
          <w:b/>
          <w:color w:val="auto"/>
          <w:sz w:val="32"/>
          <w:szCs w:val="32"/>
          <w:highlight w:val="none"/>
        </w:rPr>
      </w:r>
      <w:r/>
    </w:p>
    <w:p>
      <w:pPr>
        <w:ind w:firstLine="643"/>
        <w:jc w:val="center"/>
        <w:pageBreakBefore/>
        <w:spacing w:line="360" w:lineRule="auto"/>
        <w:tabs>
          <w:tab w:val="left" w:pos="315" w:leader="none"/>
          <w:tab w:val="center" w:pos="4153" w:leader="none"/>
        </w:tabs>
        <w:rPr>
          <w:rFonts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五、磋商响应文件格式</w:t>
      </w:r>
      <w:r/>
    </w:p>
    <w:p>
      <w:pPr>
        <w:ind w:firstLine="422"/>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说明：</w:t>
      </w:r>
      <w:r/>
    </w:p>
    <w:p>
      <w:pPr>
        <w:pStyle w:val="936"/>
        <w:ind w:firstLine="420"/>
        <w:rPr>
          <w:rFonts w:cs="宋体"/>
          <w:color w:val="auto"/>
          <w:sz w:val="21"/>
          <w:szCs w:val="21"/>
          <w:highlight w:val="none"/>
        </w:rPr>
      </w:pPr>
      <w:r>
        <w:rPr>
          <w:rFonts w:hint="eastAsia" w:cs="宋体"/>
          <w:color w:val="auto"/>
          <w:sz w:val="21"/>
          <w:szCs w:val="21"/>
          <w:highlight w:val="none"/>
        </w:rPr>
        <w:t xml:space="preserve">对本章所有的格式，供应商可根据自身情况进行补充和修改，但补充和修改不得造成与本格式内容有实质性的违背。</w:t>
      </w:r>
      <w:r/>
    </w:p>
    <w:p>
      <w:pPr>
        <w:pStyle w:val="936"/>
        <w:ind w:firstLine="420"/>
        <w:rPr>
          <w:rFonts w:cs="宋体"/>
          <w:color w:val="auto"/>
          <w:sz w:val="21"/>
          <w:szCs w:val="21"/>
          <w:highlight w:val="none"/>
        </w:rPr>
      </w:pPr>
      <w:r>
        <w:rPr>
          <w:rFonts w:cs="宋体"/>
          <w:color w:val="auto"/>
          <w:sz w:val="21"/>
          <w:szCs w:val="21"/>
          <w:highlight w:val="none"/>
        </w:rPr>
      </w:r>
      <w:r/>
    </w:p>
    <w:p>
      <w:pPr>
        <w:ind w:firstLine="422"/>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附件1：开标一览表</w:t>
      </w:r>
      <w:r/>
    </w:p>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开标一览表（</w:t>
      </w:r>
      <w:r>
        <w:rPr>
          <w:rFonts w:ascii="宋体" w:hAnsi="宋体"/>
          <w:b/>
          <w:bCs/>
          <w:color w:val="auto"/>
          <w:szCs w:val="21"/>
          <w:highlight w:val="none"/>
        </w:rPr>
        <w:t xml:space="preserve">磋商响应报价表</w:t>
      </w:r>
      <w:r>
        <w:rPr>
          <w:rFonts w:hint="eastAsia" w:ascii="宋体" w:hAnsi="宋体"/>
          <w:b/>
          <w:bCs/>
          <w:color w:val="auto"/>
          <w:szCs w:val="21"/>
          <w:highlight w:val="none"/>
        </w:rPr>
        <w:t xml:space="preserve">）</w:t>
      </w:r>
      <w:r/>
    </w:p>
    <w:tbl>
      <w:tblPr>
        <w:tblStyle w:val="720"/>
        <w:tblW w:w="9622"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6"/>
        <w:gridCol w:w="2470"/>
        <w:gridCol w:w="2662"/>
        <w:gridCol w:w="1865"/>
        <w:gridCol w:w="1409"/>
      </w:tblGrid>
      <w:tr>
        <w:trPr>
          <w:cantSplit/>
          <w:trHeight w:val="567"/>
        </w:trPr>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jc w:val="center"/>
              <w:rPr>
                <w:color w:val="auto"/>
                <w:szCs w:val="21"/>
                <w:highlight w:val="none"/>
              </w:rPr>
            </w:pPr>
            <w:r>
              <w:rPr>
                <w:rFonts w:hint="eastAsia" w:hAnsi="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470" w:type="dxa"/>
            <w:vAlign w:val="center"/>
            <w:textDirection w:val="lrTb"/>
            <w:noWrap w:val="false"/>
          </w:tcPr>
          <w:p>
            <w:pPr>
              <w:jc w:val="center"/>
              <w:rPr>
                <w:color w:val="auto"/>
                <w:szCs w:val="21"/>
                <w:highlight w:val="none"/>
              </w:rPr>
            </w:pPr>
            <w:r>
              <w:rPr>
                <w:rFonts w:hint="eastAsia" w:hAnsi="宋体"/>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2662" w:type="dxa"/>
            <w:vAlign w:val="center"/>
            <w:textDirection w:val="lrTb"/>
            <w:noWrap w:val="false"/>
          </w:tcPr>
          <w:p>
            <w:pPr>
              <w:jc w:val="center"/>
              <w:rPr>
                <w:color w:val="auto"/>
                <w:szCs w:val="21"/>
                <w:highlight w:val="none"/>
              </w:rPr>
            </w:pPr>
            <w:r>
              <w:rPr>
                <w:rFonts w:hint="eastAsia" w:hAnsi="宋体"/>
                <w:color w:val="auto"/>
                <w:szCs w:val="21"/>
                <w:highlight w:val="none"/>
              </w:rPr>
              <w:t xml:space="preserve">磋商总报价</w:t>
            </w:r>
            <w:r>
              <w:rPr>
                <w:rFonts w:hint="eastAsia"/>
                <w:color w:val="auto"/>
                <w:szCs w:val="21"/>
                <w:highlight w:val="none"/>
              </w:rPr>
              <w:t xml:space="preserve">（</w:t>
            </w:r>
            <w:r>
              <w:rPr>
                <w:rFonts w:hint="eastAsia" w:hAnsi="宋体"/>
                <w:color w:val="auto"/>
                <w:szCs w:val="21"/>
                <w:highlight w:val="none"/>
              </w:rPr>
              <w:t xml:space="preserve">元</w:t>
            </w:r>
            <w:r>
              <w:rPr>
                <w:rFonts w:hint="eastAsia"/>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jc w:val="center"/>
              <w:rPr>
                <w:color w:val="auto"/>
                <w:szCs w:val="21"/>
                <w:highlight w:val="none"/>
              </w:rPr>
            </w:pPr>
            <w:r>
              <w:rPr>
                <w:rFonts w:hint="eastAsia" w:hAnsi="宋体"/>
                <w:color w:val="auto"/>
                <w:szCs w:val="21"/>
                <w:highlight w:val="none"/>
              </w:rPr>
              <w:t xml:space="preserve">服务期限</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rPr>
                <w:color w:val="auto"/>
                <w:szCs w:val="21"/>
                <w:highlight w:val="none"/>
              </w:rPr>
            </w:pPr>
            <w:r>
              <w:rPr>
                <w:rFonts w:hint="eastAsia" w:hAnsi="宋体"/>
                <w:color w:val="auto"/>
                <w:szCs w:val="21"/>
                <w:highlight w:val="none"/>
              </w:rPr>
              <w:t xml:space="preserve">备注</w:t>
            </w:r>
            <w:r/>
          </w:p>
        </w:tc>
      </w:tr>
      <w:tr>
        <w:trPr>
          <w:cantSplit/>
          <w:trHeight w:val="1073"/>
        </w:trPr>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4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6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按采购文件要求</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423"/>
        </w:trPr>
        <w:tc>
          <w:tcPr>
            <w:gridSpan w:val="5"/>
            <w:tcBorders>
              <w:top w:val="single" w:color="auto" w:sz="4" w:space="0"/>
              <w:left w:val="single" w:color="auto" w:sz="4" w:space="0"/>
              <w:bottom w:val="single" w:color="auto" w:sz="4" w:space="0"/>
              <w:right w:val="single" w:color="auto" w:sz="4" w:space="0"/>
            </w:tcBorders>
            <w:tcW w:w="9622" w:type="dxa"/>
            <w:vAlign w:val="center"/>
            <w:textDirection w:val="lrTb"/>
            <w:noWrap w:val="false"/>
          </w:tcPr>
          <w:p>
            <w:pPr>
              <w:spacing w:line="360" w:lineRule="auto"/>
              <w:rPr>
                <w:color w:val="auto"/>
                <w:highlight w:val="none"/>
              </w:rPr>
            </w:pPr>
            <w:r>
              <w:rPr>
                <w:rFonts w:hint="eastAsia" w:ascii="宋体" w:hAnsi="宋体"/>
                <w:color w:val="auto"/>
                <w:spacing w:val="20"/>
                <w:szCs w:val="21"/>
                <w:highlight w:val="none"/>
              </w:rPr>
              <w:t xml:space="preserve">磋商响应总报价（人民币大写）：  ￥：</w:t>
            </w:r>
            <w:r/>
          </w:p>
        </w:tc>
      </w:tr>
    </w:tbl>
    <w:p>
      <w:pPr>
        <w:pStyle w:val="908"/>
        <w:rPr>
          <w:color w:val="auto"/>
          <w:highlight w:val="none"/>
        </w:rPr>
      </w:pPr>
      <w:r>
        <w:rPr>
          <w:color w:val="auto"/>
          <w:highlight w:val="none"/>
        </w:rPr>
      </w:r>
      <w:r/>
    </w:p>
    <w:p>
      <w:pPr>
        <w:pStyle w:val="908"/>
        <w:rPr>
          <w:color w:val="auto"/>
          <w:highlight w:val="none"/>
        </w:rPr>
      </w:pPr>
      <w:r>
        <w:rPr>
          <w:rFonts w:hint="eastAsia" w:ascii="Times New Roman" w:hAnsi="Times New Roman"/>
          <w:color w:val="auto"/>
          <w:highlight w:val="none"/>
        </w:rPr>
        <w:t xml:space="preserve">注：磋商响应报价包括本项目中所有文印设备正常运行所需要的所有消耗品、装订钉、消耗性零件（易损配件）、其它零件（非易损件）等日常的更换、保养、人工、备品备件的维护费用，以及电子签章系统的日常维护和升级费用、材料、管理、利润、税金、服务过程中政策性文件规定及合同中包含的所有风险、责任等各项应有费用</w:t>
      </w:r>
      <w:r>
        <w:rPr>
          <w:rFonts w:hint="eastAsia"/>
          <w:color w:val="auto"/>
          <w:highlight w:val="none"/>
        </w:rPr>
        <w:t xml:space="preserve">。</w:t>
      </w:r>
      <w:r/>
    </w:p>
    <w:p>
      <w:pPr>
        <w:pStyle w:val="908"/>
        <w:rPr>
          <w:color w:val="auto"/>
          <w:highlight w:val="none"/>
        </w:rPr>
      </w:pPr>
      <w:r>
        <w:rPr>
          <w:color w:val="auto"/>
          <w:highlight w:val="none"/>
        </w:rPr>
      </w:r>
      <w:r/>
    </w:p>
    <w:p>
      <w:pPr>
        <w:pStyle w:val="908"/>
        <w:rPr>
          <w:color w:val="auto"/>
          <w:highlight w:val="none"/>
        </w:rPr>
      </w:pPr>
      <w:r>
        <w:rPr>
          <w:rFonts w:hint="eastAsia"/>
          <w:color w:val="auto"/>
          <w:highlight w:val="none"/>
        </w:rPr>
        <w:t xml:space="preserve">磋商响应单位（签章）：</w:t>
      </w:r>
      <w:r/>
    </w:p>
    <w:p>
      <w:pPr>
        <w:pStyle w:val="908"/>
        <w:rPr>
          <w:color w:val="auto"/>
          <w:highlight w:val="none"/>
        </w:rPr>
      </w:pPr>
      <w:r>
        <w:rPr>
          <w:rFonts w:hint="eastAsia"/>
          <w:color w:val="auto"/>
          <w:highlight w:val="none"/>
        </w:rPr>
        <w:t xml:space="preserve">日期</w:t>
      </w:r>
      <w:r/>
    </w:p>
    <w:p>
      <w:pPr>
        <w:pStyle w:val="900"/>
        <w:pageBreakBefore/>
        <w:spacing w:before="0" w:after="0" w:line="360" w:lineRule="auto"/>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附件2：磋商报价分析表</w:t>
      </w:r>
      <w:r/>
    </w:p>
    <w:p>
      <w:pPr>
        <w:ind w:firstLine="422"/>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磋商报价分析表</w:t>
      </w:r>
      <w:r/>
    </w:p>
    <w:p>
      <w:pPr>
        <w:pStyle w:val="726"/>
        <w:rPr>
          <w:color w:val="auto"/>
          <w:highlight w:val="none"/>
        </w:rPr>
      </w:pPr>
      <w:r>
        <w:rPr>
          <w:rFonts w:hint="eastAsia"/>
          <w:color w:val="auto"/>
          <w:highlight w:val="none"/>
        </w:rPr>
        <w:t xml:space="preserve">磋商编号：                                  项目名称：</w:t>
      </w:r>
      <w:r/>
    </w:p>
    <w:tbl>
      <w:tblPr>
        <w:tblStyle w:val="720"/>
        <w:tblW w:w="454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
        <w:gridCol w:w="1660"/>
        <w:gridCol w:w="1215"/>
        <w:gridCol w:w="1056"/>
        <w:gridCol w:w="864"/>
        <w:gridCol w:w="1041"/>
        <w:gridCol w:w="754"/>
        <w:gridCol w:w="992"/>
      </w:tblGrid>
      <w:tr>
        <w:trPr>
          <w:jc w:val="center"/>
          <w:trHeight w:val="20"/>
          <w:tblHeader/>
        </w:trPr>
        <w:tc>
          <w:tcPr>
            <w:tcW w:w="505" w:type="pct"/>
            <w:vAlign w:val="center"/>
            <w:textDirection w:val="lrTb"/>
            <w:noWrap w:val="false"/>
          </w:tcPr>
          <w:p>
            <w:pPr>
              <w:jc w:val="center"/>
              <w:spacing w:line="276" w:lineRule="auto"/>
              <w:widowControl/>
              <w:rPr>
                <w:rFonts w:ascii="宋体" w:hAnsi="宋体" w:eastAsia="宋体" w:cs="宋体"/>
                <w:color w:val="auto"/>
                <w:sz w:val="20"/>
                <w:highlight w:val="none"/>
              </w:rPr>
            </w:pPr>
            <w:r>
              <w:rPr>
                <w:rFonts w:hint="eastAsia" w:ascii="宋体" w:hAnsi="宋体" w:eastAsia="宋体" w:cs="宋体"/>
                <w:color w:val="auto"/>
                <w:sz w:val="20"/>
                <w:highlight w:val="none"/>
              </w:rPr>
              <w:t xml:space="preserve">序号</w:t>
            </w:r>
            <w:r/>
          </w:p>
        </w:tc>
        <w:tc>
          <w:tcPr>
            <w:tcW w:w="984" w:type="pct"/>
            <w:vAlign w:val="center"/>
            <w:textDirection w:val="lrTb"/>
            <w:noWrap w:val="false"/>
          </w:tcPr>
          <w:p>
            <w:pPr>
              <w:jc w:val="center"/>
              <w:spacing w:line="276" w:lineRule="auto"/>
              <w:widowControl/>
              <w:rPr>
                <w:rFonts w:ascii="宋体" w:hAnsi="宋体" w:eastAsia="宋体" w:cs="宋体"/>
                <w:color w:val="auto"/>
                <w:sz w:val="20"/>
                <w:highlight w:val="none"/>
              </w:rPr>
            </w:pPr>
            <w:r>
              <w:rPr>
                <w:rFonts w:hint="eastAsia" w:ascii="宋体" w:hAnsi="宋体" w:eastAsia="宋体"/>
                <w:color w:val="auto"/>
                <w:szCs w:val="21"/>
                <w:highlight w:val="none"/>
              </w:rPr>
              <w:t xml:space="preserve">服务内容</w:t>
            </w:r>
            <w:r/>
          </w:p>
        </w:tc>
        <w:tc>
          <w:tcPr>
            <w:tcW w:w="720" w:type="pct"/>
            <w:vAlign w:val="top"/>
            <w:textDirection w:val="lrTb"/>
            <w:noWrap w:val="false"/>
          </w:tcPr>
          <w:p>
            <w:pPr>
              <w:jc w:val="center"/>
              <w:spacing w:line="276"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单位</w:t>
            </w:r>
            <w:r/>
          </w:p>
        </w:tc>
        <w:tc>
          <w:tcPr>
            <w:tcW w:w="626" w:type="pct"/>
            <w:vAlign w:val="center"/>
            <w:textDirection w:val="lrTb"/>
            <w:noWrap w:val="false"/>
          </w:tcPr>
          <w:p>
            <w:pPr>
              <w:jc w:val="center"/>
              <w:spacing w:line="276"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数量</w:t>
            </w:r>
            <w:r/>
          </w:p>
        </w:tc>
        <w:tc>
          <w:tcPr>
            <w:tcW w:w="512" w:type="pct"/>
            <w:vAlign w:val="top"/>
            <w:textDirection w:val="lrTb"/>
            <w:noWrap w:val="false"/>
          </w:tcPr>
          <w:p>
            <w:pPr>
              <w:jc w:val="center"/>
              <w:spacing w:line="276" w:lineRule="auto"/>
              <w:widowControl/>
              <w:rPr>
                <w:rFonts w:ascii="宋体" w:hAnsi="宋体" w:eastAsia="宋体"/>
                <w:color w:val="auto"/>
                <w:szCs w:val="21"/>
                <w:highlight w:val="none"/>
              </w:rPr>
            </w:pPr>
            <w:r>
              <w:rPr>
                <w:rFonts w:hint="eastAsia" w:ascii="宋体" w:hAnsi="宋体" w:eastAsia="宋体"/>
                <w:color w:val="auto"/>
                <w:szCs w:val="21"/>
                <w:highlight w:val="none"/>
              </w:rPr>
              <w:t xml:space="preserve">单价</w:t>
            </w:r>
            <w:r/>
          </w:p>
        </w:tc>
        <w:tc>
          <w:tcPr>
            <w:tcW w:w="617" w:type="pct"/>
            <w:vAlign w:val="center"/>
            <w:textDirection w:val="lrTb"/>
            <w:noWrap w:val="false"/>
          </w:tcPr>
          <w:p>
            <w:pPr>
              <w:jc w:val="center"/>
              <w:spacing w:line="276" w:lineRule="auto"/>
              <w:widowControl/>
              <w:rPr>
                <w:rFonts w:hint="eastAsia" w:ascii="宋体" w:hAnsi="宋体" w:eastAsia="宋体" w:cs="宋体"/>
                <w:color w:val="auto"/>
                <w:sz w:val="20"/>
                <w:highlight w:val="none"/>
                <w:lang w:val="en-US" w:eastAsia="zh-CN"/>
              </w:rPr>
            </w:pPr>
            <w:r>
              <w:rPr>
                <w:rFonts w:hint="eastAsia" w:ascii="宋体" w:hAnsi="宋体" w:eastAsia="宋体" w:cs="宋体"/>
                <w:color w:val="auto"/>
                <w:sz w:val="20"/>
                <w:highlight w:val="none"/>
                <w:lang w:val="en-US" w:eastAsia="zh-CN"/>
              </w:rPr>
              <w:t xml:space="preserve">服务期限</w:t>
            </w:r>
            <w:r/>
          </w:p>
        </w:tc>
        <w:tc>
          <w:tcPr>
            <w:tcW w:w="445" w:type="pct"/>
            <w:vAlign w:val="center"/>
            <w:textDirection w:val="lrTb"/>
            <w:noWrap w:val="false"/>
          </w:tcPr>
          <w:p>
            <w:pPr>
              <w:jc w:val="center"/>
              <w:spacing w:line="276"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小计</w:t>
            </w:r>
            <w:r/>
          </w:p>
        </w:tc>
        <w:tc>
          <w:tcPr>
            <w:tcW w:w="588" w:type="pct"/>
            <w:vAlign w:val="center"/>
            <w:textDirection w:val="lrTb"/>
            <w:noWrap w:val="false"/>
          </w:tcPr>
          <w:p>
            <w:pPr>
              <w:jc w:val="center"/>
              <w:spacing w:line="276" w:lineRule="auto"/>
              <w:widowControl/>
              <w:rPr>
                <w:rFonts w:ascii="宋体" w:hAnsi="宋体" w:eastAsia="宋体" w:cs="宋体"/>
                <w:color w:val="auto"/>
                <w:sz w:val="20"/>
                <w:highlight w:val="none"/>
              </w:rPr>
            </w:pPr>
            <w:r>
              <w:rPr>
                <w:rFonts w:hint="eastAsia" w:ascii="宋体" w:hAnsi="宋体" w:eastAsia="宋体"/>
                <w:color w:val="auto"/>
                <w:szCs w:val="21"/>
                <w:highlight w:val="none"/>
              </w:rPr>
              <w:t xml:space="preserve">备注</w:t>
            </w:r>
            <w:r/>
          </w:p>
        </w:tc>
      </w:tr>
      <w:tr>
        <w:trPr>
          <w:jc w:val="center"/>
          <w:trHeight w:val="20"/>
        </w:trPr>
        <w:tc>
          <w:tcPr>
            <w:tcW w:w="505" w:type="pct"/>
            <w:vAlign w:val="center"/>
            <w:textDirection w:val="lrTb"/>
            <w:noWrap/>
          </w:tcPr>
          <w:p>
            <w:pPr>
              <w:jc w:val="center"/>
              <w:spacing w:line="276" w:lineRule="auto"/>
              <w:widowControl/>
              <w:rPr>
                <w:rFonts w:ascii="宋体" w:hAnsi="宋体" w:eastAsia="宋体" w:cs="宋体"/>
                <w:color w:val="auto"/>
                <w:sz w:val="20"/>
                <w:highlight w:val="none"/>
              </w:rPr>
            </w:pPr>
            <w:r>
              <w:rPr>
                <w:rFonts w:ascii="宋体" w:hAnsi="宋体" w:eastAsia="宋体" w:cs="宋体"/>
                <w:color w:val="auto"/>
                <w:sz w:val="20"/>
                <w:highlight w:val="none"/>
              </w:rPr>
              <w:t xml:space="preserve">1</w:t>
            </w:r>
            <w:r/>
          </w:p>
        </w:tc>
        <w:tc>
          <w:tcPr>
            <w:tcW w:w="984" w:type="pct"/>
            <w:vAlign w:val="center"/>
            <w:textDirection w:val="lrTb"/>
            <w:noWrap/>
          </w:tcPr>
          <w:p>
            <w:pPr>
              <w:spacing w:line="276" w:lineRule="auto"/>
              <w:widowControl/>
              <w:rPr>
                <w:rFonts w:ascii="宋体" w:hAnsi="宋体" w:eastAsia="宋体" w:cs="宋体"/>
                <w:color w:val="auto"/>
                <w:sz w:val="20"/>
                <w:highlight w:val="none"/>
              </w:rPr>
            </w:pPr>
            <w:r>
              <w:rPr>
                <w:rFonts w:ascii="宋体" w:hAnsi="宋体" w:eastAsia="宋体" w:cs="宋体"/>
                <w:color w:val="auto"/>
                <w:sz w:val="20"/>
                <w:highlight w:val="none"/>
              </w:rPr>
            </w:r>
            <w:r/>
          </w:p>
        </w:tc>
        <w:tc>
          <w:tcPr>
            <w:tcW w:w="720" w:type="pct"/>
            <w:vAlign w:val="top"/>
            <w:textDirection w:val="lrTb"/>
            <w:noWrap w:val="false"/>
          </w:tcPr>
          <w:p>
            <w:pPr>
              <w:jc w:val="center"/>
              <w:spacing w:line="276" w:lineRule="auto"/>
              <w:widowControl/>
              <w:rPr>
                <w:rFonts w:ascii="宋体" w:hAnsi="宋体" w:eastAsia="宋体" w:cs="宋体"/>
                <w:color w:val="auto"/>
                <w:sz w:val="20"/>
                <w:highlight w:val="none"/>
              </w:rPr>
            </w:pPr>
            <w:r>
              <w:rPr>
                <w:rFonts w:ascii="宋体" w:hAnsi="宋体" w:eastAsia="宋体" w:cs="宋体"/>
                <w:color w:val="auto"/>
                <w:sz w:val="20"/>
                <w:highlight w:val="none"/>
              </w:rPr>
            </w:r>
            <w:r/>
          </w:p>
        </w:tc>
        <w:tc>
          <w:tcPr>
            <w:tcW w:w="626" w:type="pct"/>
            <w:vAlign w:val="center"/>
            <w:textDirection w:val="lrTb"/>
            <w:noWrap/>
          </w:tcPr>
          <w:p>
            <w:pPr>
              <w:jc w:val="center"/>
              <w:spacing w:line="276" w:lineRule="auto"/>
              <w:widowControl/>
              <w:rPr>
                <w:rFonts w:ascii="宋体" w:hAnsi="宋体" w:eastAsia="宋体" w:cs="宋体"/>
                <w:color w:val="auto"/>
                <w:sz w:val="20"/>
                <w:highlight w:val="none"/>
              </w:rPr>
            </w:pPr>
            <w:r>
              <w:rPr>
                <w:rFonts w:ascii="宋体" w:hAnsi="宋体" w:eastAsia="宋体" w:cs="宋体"/>
                <w:color w:val="auto"/>
                <w:sz w:val="20"/>
                <w:highlight w:val="none"/>
              </w:rPr>
            </w:r>
            <w:r/>
          </w:p>
        </w:tc>
        <w:tc>
          <w:tcPr>
            <w:tcW w:w="512" w:type="pct"/>
            <w:vAlign w:val="top"/>
            <w:textDirection w:val="lrTb"/>
            <w:noWrap w:val="false"/>
          </w:tcPr>
          <w:p>
            <w:pPr>
              <w:spacing w:line="276" w:lineRule="auto"/>
              <w:widowControl/>
              <w:rPr>
                <w:rFonts w:ascii="宋体" w:hAnsi="宋体" w:eastAsia="宋体" w:cs="宋体"/>
                <w:color w:val="auto"/>
                <w:sz w:val="20"/>
                <w:highlight w:val="none"/>
              </w:rPr>
            </w:pPr>
            <w:r>
              <w:rPr>
                <w:rFonts w:ascii="宋体" w:hAnsi="宋体" w:eastAsia="宋体" w:cs="宋体"/>
                <w:color w:val="auto"/>
                <w:sz w:val="20"/>
                <w:highlight w:val="none"/>
              </w:rPr>
            </w:r>
            <w:r/>
          </w:p>
        </w:tc>
        <w:tc>
          <w:tcPr>
            <w:tcW w:w="617" w:type="pct"/>
            <w:vAlign w:val="center"/>
            <w:textDirection w:val="lrTb"/>
            <w:noWrap/>
          </w:tcPr>
          <w:p>
            <w:pPr>
              <w:spacing w:line="276" w:lineRule="auto"/>
              <w:widowControl/>
              <w:rPr>
                <w:rFonts w:ascii="宋体" w:hAnsi="宋体" w:eastAsia="宋体" w:cs="宋体"/>
                <w:color w:val="auto"/>
                <w:sz w:val="20"/>
                <w:highlight w:val="none"/>
              </w:rPr>
            </w:pPr>
            <w:r>
              <w:rPr>
                <w:rFonts w:ascii="宋体" w:hAnsi="宋体" w:eastAsia="宋体" w:cs="宋体"/>
                <w:color w:val="auto"/>
                <w:sz w:val="20"/>
                <w:highlight w:val="none"/>
              </w:rPr>
            </w:r>
            <w:r/>
          </w:p>
        </w:tc>
        <w:tc>
          <w:tcPr>
            <w:tcW w:w="445" w:type="pct"/>
            <w:vAlign w:val="center"/>
            <w:textDirection w:val="lrTb"/>
            <w:noWrap/>
          </w:tcPr>
          <w:p>
            <w:pPr>
              <w:spacing w:line="276" w:lineRule="auto"/>
              <w:widowControl/>
              <w:rPr>
                <w:rFonts w:ascii="宋体" w:hAnsi="宋体" w:eastAsia="宋体" w:cs="宋体"/>
                <w:color w:val="auto"/>
                <w:sz w:val="20"/>
                <w:highlight w:val="none"/>
              </w:rPr>
            </w:pPr>
            <w:r>
              <w:rPr>
                <w:rFonts w:ascii="宋体" w:hAnsi="宋体" w:eastAsia="宋体" w:cs="宋体"/>
                <w:color w:val="auto"/>
                <w:sz w:val="20"/>
                <w:highlight w:val="none"/>
              </w:rPr>
            </w:r>
            <w:r/>
          </w:p>
        </w:tc>
        <w:tc>
          <w:tcPr>
            <w:tcW w:w="588" w:type="pct"/>
            <w:vAlign w:val="center"/>
            <w:textDirection w:val="lrTb"/>
            <w:noWrap w:val="false"/>
          </w:tcPr>
          <w:p>
            <w:pPr>
              <w:spacing w:line="276" w:lineRule="auto"/>
              <w:widowControl/>
              <w:rPr>
                <w:rFonts w:ascii="宋体" w:hAnsi="宋体" w:eastAsia="宋体" w:cs="宋体"/>
                <w:color w:val="auto"/>
                <w:sz w:val="20"/>
                <w:highlight w:val="none"/>
              </w:rPr>
            </w:pPr>
            <w:r>
              <w:rPr>
                <w:rFonts w:ascii="宋体" w:hAnsi="宋体" w:eastAsia="宋体" w:cs="宋体"/>
                <w:color w:val="auto"/>
                <w:sz w:val="20"/>
                <w:highlight w:val="none"/>
              </w:rPr>
            </w:r>
            <w:r/>
          </w:p>
        </w:tc>
      </w:tr>
      <w:tr>
        <w:trPr>
          <w:jc w:val="center"/>
          <w:trHeight w:val="20"/>
        </w:trPr>
        <w:tc>
          <w:tcPr>
            <w:tcW w:w="505" w:type="pct"/>
            <w:vAlign w:val="center"/>
            <w:textDirection w:val="lrTb"/>
            <w:noWrap/>
          </w:tcPr>
          <w:p>
            <w:pPr>
              <w:jc w:val="center"/>
              <w:spacing w:line="276" w:lineRule="auto"/>
              <w:widowControl/>
              <w:rPr>
                <w:rFonts w:ascii="宋体" w:hAnsi="宋体" w:eastAsia="宋体" w:cs="宋体"/>
                <w:color w:val="auto"/>
                <w:sz w:val="20"/>
                <w:highlight w:val="none"/>
              </w:rPr>
            </w:pPr>
            <w:r>
              <w:rPr>
                <w:rFonts w:ascii="宋体" w:hAnsi="宋体" w:eastAsia="宋体" w:cs="宋体"/>
                <w:color w:val="auto"/>
                <w:sz w:val="20"/>
                <w:highlight w:val="none"/>
              </w:rPr>
              <w:t xml:space="preserve">2</w:t>
            </w:r>
            <w:r/>
          </w:p>
        </w:tc>
        <w:tc>
          <w:tcPr>
            <w:tcW w:w="984" w:type="pct"/>
            <w:vAlign w:val="center"/>
            <w:textDirection w:val="lrTb"/>
            <w:noWrap/>
          </w:tcPr>
          <w:p>
            <w:pPr>
              <w:spacing w:line="276" w:lineRule="auto"/>
              <w:widowControl/>
              <w:rPr>
                <w:rFonts w:ascii="宋体" w:hAnsi="宋体" w:eastAsia="宋体" w:cs="宋体"/>
                <w:color w:val="auto"/>
                <w:sz w:val="20"/>
                <w:highlight w:val="none"/>
              </w:rPr>
            </w:pPr>
            <w:r>
              <w:rPr>
                <w:rFonts w:ascii="宋体" w:hAnsi="宋体" w:eastAsia="宋体" w:cs="宋体"/>
                <w:color w:val="auto"/>
                <w:sz w:val="20"/>
                <w:highlight w:val="none"/>
              </w:rPr>
            </w:r>
            <w:r/>
          </w:p>
        </w:tc>
        <w:tc>
          <w:tcPr>
            <w:tcW w:w="720" w:type="pct"/>
            <w:vAlign w:val="top"/>
            <w:textDirection w:val="lrTb"/>
            <w:noWrap w:val="false"/>
          </w:tcPr>
          <w:p>
            <w:pPr>
              <w:jc w:val="center"/>
              <w:spacing w:line="276" w:lineRule="auto"/>
              <w:widowControl/>
              <w:rPr>
                <w:rFonts w:ascii="宋体" w:hAnsi="宋体" w:eastAsia="宋体" w:cs="宋体"/>
                <w:color w:val="auto"/>
                <w:sz w:val="20"/>
                <w:highlight w:val="none"/>
              </w:rPr>
            </w:pPr>
            <w:r>
              <w:rPr>
                <w:rFonts w:ascii="宋体" w:hAnsi="宋体" w:eastAsia="宋体" w:cs="宋体"/>
                <w:color w:val="auto"/>
                <w:sz w:val="20"/>
                <w:highlight w:val="none"/>
              </w:rPr>
            </w:r>
            <w:r/>
          </w:p>
        </w:tc>
        <w:tc>
          <w:tcPr>
            <w:tcW w:w="626" w:type="pct"/>
            <w:vAlign w:val="center"/>
            <w:textDirection w:val="lrTb"/>
            <w:noWrap/>
          </w:tcPr>
          <w:p>
            <w:pPr>
              <w:jc w:val="center"/>
              <w:spacing w:line="276" w:lineRule="auto"/>
              <w:widowControl/>
              <w:rPr>
                <w:rFonts w:ascii="宋体" w:hAnsi="宋体" w:eastAsia="宋体" w:cs="宋体"/>
                <w:color w:val="auto"/>
                <w:sz w:val="20"/>
                <w:highlight w:val="none"/>
              </w:rPr>
            </w:pPr>
            <w:r>
              <w:rPr>
                <w:rFonts w:ascii="宋体" w:hAnsi="宋体" w:eastAsia="宋体" w:cs="宋体"/>
                <w:color w:val="auto"/>
                <w:sz w:val="20"/>
                <w:highlight w:val="none"/>
              </w:rPr>
            </w:r>
            <w:r/>
          </w:p>
        </w:tc>
        <w:tc>
          <w:tcPr>
            <w:tcW w:w="512" w:type="pct"/>
            <w:vAlign w:val="top"/>
            <w:textDirection w:val="lrTb"/>
            <w:noWrap w:val="false"/>
          </w:tcPr>
          <w:p>
            <w:pPr>
              <w:spacing w:line="276" w:lineRule="auto"/>
              <w:widowControl/>
              <w:rPr>
                <w:rFonts w:ascii="宋体" w:hAnsi="宋体" w:eastAsia="宋体" w:cs="宋体"/>
                <w:color w:val="auto"/>
                <w:sz w:val="20"/>
                <w:highlight w:val="none"/>
              </w:rPr>
            </w:pPr>
            <w:r>
              <w:rPr>
                <w:rFonts w:ascii="宋体" w:hAnsi="宋体" w:eastAsia="宋体" w:cs="宋体"/>
                <w:color w:val="auto"/>
                <w:sz w:val="20"/>
                <w:highlight w:val="none"/>
              </w:rPr>
            </w:r>
            <w:r/>
          </w:p>
        </w:tc>
        <w:tc>
          <w:tcPr>
            <w:tcW w:w="617" w:type="pct"/>
            <w:vAlign w:val="center"/>
            <w:textDirection w:val="lrTb"/>
            <w:noWrap/>
          </w:tcPr>
          <w:p>
            <w:pPr>
              <w:spacing w:line="276" w:lineRule="auto"/>
              <w:widowControl/>
              <w:rPr>
                <w:rFonts w:ascii="宋体" w:hAnsi="宋体" w:eastAsia="宋体" w:cs="宋体"/>
                <w:color w:val="auto"/>
                <w:sz w:val="20"/>
                <w:highlight w:val="none"/>
              </w:rPr>
            </w:pPr>
            <w:r>
              <w:rPr>
                <w:rFonts w:ascii="宋体" w:hAnsi="宋体" w:eastAsia="宋体" w:cs="宋体"/>
                <w:color w:val="auto"/>
                <w:sz w:val="20"/>
                <w:highlight w:val="none"/>
              </w:rPr>
            </w:r>
            <w:r/>
          </w:p>
        </w:tc>
        <w:tc>
          <w:tcPr>
            <w:tcW w:w="445" w:type="pct"/>
            <w:vAlign w:val="center"/>
            <w:textDirection w:val="lrTb"/>
            <w:noWrap/>
          </w:tcPr>
          <w:p>
            <w:pPr>
              <w:spacing w:line="276" w:lineRule="auto"/>
              <w:widowControl/>
              <w:rPr>
                <w:rFonts w:ascii="宋体" w:hAnsi="宋体" w:eastAsia="宋体" w:cs="宋体"/>
                <w:color w:val="auto"/>
                <w:sz w:val="20"/>
                <w:highlight w:val="none"/>
              </w:rPr>
            </w:pPr>
            <w:r>
              <w:rPr>
                <w:rFonts w:ascii="宋体" w:hAnsi="宋体" w:eastAsia="宋体" w:cs="宋体"/>
                <w:color w:val="auto"/>
                <w:sz w:val="20"/>
                <w:highlight w:val="none"/>
              </w:rPr>
            </w:r>
            <w:r/>
          </w:p>
        </w:tc>
        <w:tc>
          <w:tcPr>
            <w:tcW w:w="588" w:type="pct"/>
            <w:vAlign w:val="center"/>
            <w:textDirection w:val="lrTb"/>
            <w:noWrap w:val="false"/>
          </w:tcPr>
          <w:p>
            <w:pPr>
              <w:spacing w:line="276" w:lineRule="auto"/>
              <w:widowControl/>
              <w:rPr>
                <w:rFonts w:ascii="宋体" w:hAnsi="宋体" w:eastAsia="宋体" w:cs="宋体"/>
                <w:color w:val="auto"/>
                <w:sz w:val="20"/>
                <w:highlight w:val="none"/>
              </w:rPr>
            </w:pPr>
            <w:r>
              <w:rPr>
                <w:rFonts w:ascii="宋体" w:hAnsi="宋体" w:eastAsia="宋体" w:cs="宋体"/>
                <w:color w:val="auto"/>
                <w:sz w:val="20"/>
                <w:highlight w:val="none"/>
              </w:rPr>
            </w:r>
            <w:r/>
          </w:p>
        </w:tc>
      </w:tr>
      <w:tr>
        <w:trPr>
          <w:jc w:val="center"/>
          <w:trHeight w:val="20"/>
        </w:trPr>
        <w:tc>
          <w:tcPr>
            <w:tcW w:w="505" w:type="pct"/>
            <w:vAlign w:val="center"/>
            <w:textDirection w:val="lrTb"/>
            <w:noWrap/>
          </w:tcPr>
          <w:p>
            <w:pPr>
              <w:jc w:val="center"/>
              <w:spacing w:line="276" w:lineRule="auto"/>
              <w:widowControl/>
              <w:rPr>
                <w:rFonts w:ascii="宋体" w:hAnsi="宋体" w:eastAsia="宋体" w:cs="宋体"/>
                <w:color w:val="auto"/>
                <w:sz w:val="20"/>
                <w:highlight w:val="none"/>
              </w:rPr>
            </w:pPr>
            <w:r>
              <w:rPr>
                <w:rFonts w:ascii="宋体" w:hAnsi="宋体" w:eastAsia="宋体" w:cs="宋体"/>
                <w:color w:val="auto"/>
                <w:sz w:val="20"/>
                <w:highlight w:val="none"/>
              </w:rPr>
              <w:t xml:space="preserve">3</w:t>
            </w:r>
            <w:r/>
          </w:p>
        </w:tc>
        <w:tc>
          <w:tcPr>
            <w:tcW w:w="984" w:type="pct"/>
            <w:vAlign w:val="center"/>
            <w:textDirection w:val="lrTb"/>
            <w:noWrap/>
          </w:tcPr>
          <w:p>
            <w:pPr>
              <w:spacing w:line="276" w:lineRule="auto"/>
              <w:widowControl/>
              <w:rPr>
                <w:rFonts w:ascii="宋体" w:hAnsi="宋体" w:eastAsia="宋体" w:cs="宋体"/>
                <w:color w:val="auto"/>
                <w:sz w:val="20"/>
                <w:highlight w:val="none"/>
              </w:rPr>
            </w:pPr>
            <w:r>
              <w:rPr>
                <w:rFonts w:ascii="宋体" w:hAnsi="宋体" w:eastAsia="宋体" w:cs="宋体"/>
                <w:color w:val="auto"/>
                <w:sz w:val="20"/>
                <w:highlight w:val="none"/>
              </w:rPr>
            </w:r>
            <w:r/>
          </w:p>
        </w:tc>
        <w:tc>
          <w:tcPr>
            <w:tcW w:w="720" w:type="pct"/>
            <w:vAlign w:val="top"/>
            <w:textDirection w:val="lrTb"/>
            <w:noWrap w:val="false"/>
          </w:tcPr>
          <w:p>
            <w:pPr>
              <w:jc w:val="center"/>
              <w:spacing w:line="276" w:lineRule="auto"/>
              <w:widowControl/>
              <w:rPr>
                <w:rFonts w:ascii="宋体" w:hAnsi="宋体" w:eastAsia="宋体" w:cs="宋体"/>
                <w:color w:val="auto"/>
                <w:sz w:val="20"/>
                <w:highlight w:val="none"/>
              </w:rPr>
            </w:pPr>
            <w:r>
              <w:rPr>
                <w:rFonts w:ascii="宋体" w:hAnsi="宋体" w:eastAsia="宋体" w:cs="宋体"/>
                <w:color w:val="auto"/>
                <w:sz w:val="20"/>
                <w:highlight w:val="none"/>
              </w:rPr>
            </w:r>
            <w:r/>
          </w:p>
        </w:tc>
        <w:tc>
          <w:tcPr>
            <w:tcW w:w="626" w:type="pct"/>
            <w:vAlign w:val="center"/>
            <w:textDirection w:val="lrTb"/>
            <w:noWrap/>
          </w:tcPr>
          <w:p>
            <w:pPr>
              <w:jc w:val="center"/>
              <w:spacing w:line="276" w:lineRule="auto"/>
              <w:widowControl/>
              <w:rPr>
                <w:rFonts w:ascii="宋体" w:hAnsi="宋体" w:eastAsia="宋体" w:cs="宋体"/>
                <w:color w:val="auto"/>
                <w:sz w:val="20"/>
                <w:highlight w:val="none"/>
              </w:rPr>
            </w:pPr>
            <w:r>
              <w:rPr>
                <w:rFonts w:ascii="宋体" w:hAnsi="宋体" w:eastAsia="宋体" w:cs="宋体"/>
                <w:color w:val="auto"/>
                <w:sz w:val="20"/>
                <w:highlight w:val="none"/>
              </w:rPr>
            </w:r>
            <w:r/>
          </w:p>
        </w:tc>
        <w:tc>
          <w:tcPr>
            <w:tcW w:w="512" w:type="pct"/>
            <w:vAlign w:val="top"/>
            <w:textDirection w:val="lrTb"/>
            <w:noWrap w:val="false"/>
          </w:tcPr>
          <w:p>
            <w:pPr>
              <w:spacing w:line="276" w:lineRule="auto"/>
              <w:widowControl/>
              <w:rPr>
                <w:rFonts w:ascii="宋体" w:hAnsi="宋体" w:eastAsia="宋体" w:cs="宋体"/>
                <w:color w:val="auto"/>
                <w:sz w:val="20"/>
                <w:highlight w:val="none"/>
              </w:rPr>
            </w:pPr>
            <w:r>
              <w:rPr>
                <w:rFonts w:ascii="宋体" w:hAnsi="宋体" w:eastAsia="宋体" w:cs="宋体"/>
                <w:color w:val="auto"/>
                <w:sz w:val="20"/>
                <w:highlight w:val="none"/>
              </w:rPr>
            </w:r>
            <w:r/>
          </w:p>
        </w:tc>
        <w:tc>
          <w:tcPr>
            <w:tcW w:w="617" w:type="pct"/>
            <w:vAlign w:val="center"/>
            <w:textDirection w:val="lrTb"/>
            <w:noWrap/>
          </w:tcPr>
          <w:p>
            <w:pPr>
              <w:spacing w:line="276" w:lineRule="auto"/>
              <w:widowControl/>
              <w:rPr>
                <w:rFonts w:ascii="宋体" w:hAnsi="宋体" w:eastAsia="宋体" w:cs="宋体"/>
                <w:color w:val="auto"/>
                <w:sz w:val="20"/>
                <w:highlight w:val="none"/>
              </w:rPr>
            </w:pPr>
            <w:r>
              <w:rPr>
                <w:rFonts w:ascii="宋体" w:hAnsi="宋体" w:eastAsia="宋体" w:cs="宋体"/>
                <w:color w:val="auto"/>
                <w:sz w:val="20"/>
                <w:highlight w:val="none"/>
              </w:rPr>
            </w:r>
            <w:r/>
          </w:p>
        </w:tc>
        <w:tc>
          <w:tcPr>
            <w:tcW w:w="445" w:type="pct"/>
            <w:vAlign w:val="center"/>
            <w:textDirection w:val="lrTb"/>
            <w:noWrap/>
          </w:tcPr>
          <w:p>
            <w:pPr>
              <w:spacing w:line="276" w:lineRule="auto"/>
              <w:widowControl/>
              <w:rPr>
                <w:rFonts w:ascii="宋体" w:hAnsi="宋体" w:eastAsia="宋体" w:cs="宋体"/>
                <w:color w:val="auto"/>
                <w:sz w:val="20"/>
                <w:highlight w:val="none"/>
              </w:rPr>
            </w:pPr>
            <w:r>
              <w:rPr>
                <w:rFonts w:ascii="宋体" w:hAnsi="宋体" w:eastAsia="宋体" w:cs="宋体"/>
                <w:color w:val="auto"/>
                <w:sz w:val="20"/>
                <w:highlight w:val="none"/>
              </w:rPr>
            </w:r>
            <w:r/>
          </w:p>
        </w:tc>
        <w:tc>
          <w:tcPr>
            <w:tcW w:w="588" w:type="pct"/>
            <w:vAlign w:val="center"/>
            <w:textDirection w:val="lrTb"/>
            <w:noWrap w:val="false"/>
          </w:tcPr>
          <w:p>
            <w:pPr>
              <w:spacing w:line="276" w:lineRule="auto"/>
              <w:widowControl/>
              <w:rPr>
                <w:rFonts w:ascii="宋体" w:hAnsi="宋体" w:eastAsia="宋体" w:cs="宋体"/>
                <w:color w:val="auto"/>
                <w:sz w:val="20"/>
                <w:highlight w:val="none"/>
              </w:rPr>
            </w:pPr>
            <w:r>
              <w:rPr>
                <w:rFonts w:ascii="宋体" w:hAnsi="宋体" w:eastAsia="宋体" w:cs="宋体"/>
                <w:color w:val="auto"/>
                <w:sz w:val="20"/>
                <w:highlight w:val="none"/>
              </w:rPr>
            </w:r>
            <w:r/>
          </w:p>
        </w:tc>
      </w:tr>
      <w:tr>
        <w:trPr>
          <w:jc w:val="center"/>
          <w:trHeight w:val="20"/>
        </w:trPr>
        <w:tc>
          <w:tcPr>
            <w:tcW w:w="505" w:type="pct"/>
            <w:vAlign w:val="center"/>
            <w:textDirection w:val="lrTb"/>
            <w:noWrap/>
          </w:tcPr>
          <w:p>
            <w:pPr>
              <w:jc w:val="center"/>
              <w:spacing w:line="276" w:lineRule="auto"/>
              <w:widowControl/>
              <w:rPr>
                <w:rFonts w:ascii="宋体" w:hAnsi="宋体" w:eastAsia="宋体" w:cs="宋体"/>
                <w:color w:val="auto"/>
                <w:sz w:val="20"/>
                <w:highlight w:val="none"/>
              </w:rPr>
            </w:pPr>
            <w:r>
              <w:rPr>
                <w:rFonts w:ascii="宋体" w:hAnsi="宋体" w:eastAsia="宋体" w:cs="宋体"/>
                <w:color w:val="auto"/>
                <w:sz w:val="20"/>
                <w:highlight w:val="none"/>
              </w:rPr>
              <w:t xml:space="preserve">……</w:t>
            </w:r>
            <w:r/>
          </w:p>
        </w:tc>
        <w:tc>
          <w:tcPr>
            <w:tcW w:w="984" w:type="pct"/>
            <w:vAlign w:val="center"/>
            <w:textDirection w:val="lrTb"/>
            <w:noWrap/>
          </w:tcPr>
          <w:p>
            <w:pPr>
              <w:jc w:val="center"/>
              <w:spacing w:line="276" w:lineRule="auto"/>
              <w:widowControl/>
              <w:rPr>
                <w:rFonts w:ascii="宋体" w:hAnsi="宋体" w:eastAsia="宋体" w:cs="宋体"/>
                <w:color w:val="auto"/>
                <w:sz w:val="20"/>
                <w:highlight w:val="none"/>
              </w:rPr>
            </w:pPr>
            <w:r>
              <w:rPr>
                <w:rFonts w:ascii="宋体" w:hAnsi="宋体" w:eastAsia="宋体" w:cs="宋体"/>
                <w:color w:val="auto"/>
                <w:sz w:val="20"/>
                <w:highlight w:val="none"/>
              </w:rPr>
              <w:t xml:space="preserve">……</w:t>
            </w:r>
            <w:r/>
          </w:p>
        </w:tc>
        <w:tc>
          <w:tcPr>
            <w:tcW w:w="720" w:type="pct"/>
            <w:vAlign w:val="top"/>
            <w:textDirection w:val="lrTb"/>
            <w:noWrap w:val="false"/>
          </w:tcPr>
          <w:p>
            <w:pPr>
              <w:jc w:val="center"/>
              <w:spacing w:line="276" w:lineRule="auto"/>
              <w:rPr>
                <w:rFonts w:ascii="宋体" w:hAnsi="宋体" w:eastAsia="宋体"/>
                <w:color w:val="auto"/>
                <w:highlight w:val="none"/>
              </w:rPr>
            </w:pPr>
            <w:r>
              <w:rPr>
                <w:rFonts w:ascii="宋体" w:hAnsi="宋体" w:eastAsia="宋体" w:cs="宋体"/>
                <w:color w:val="auto"/>
                <w:sz w:val="20"/>
                <w:highlight w:val="none"/>
              </w:rPr>
              <w:t xml:space="preserve">……</w:t>
            </w:r>
            <w:r/>
          </w:p>
        </w:tc>
        <w:tc>
          <w:tcPr>
            <w:tcW w:w="626" w:type="pct"/>
            <w:vAlign w:val="center"/>
            <w:textDirection w:val="lrTb"/>
            <w:noWrap/>
          </w:tcPr>
          <w:p>
            <w:pPr>
              <w:jc w:val="center"/>
              <w:spacing w:line="276" w:lineRule="auto"/>
              <w:rPr>
                <w:rFonts w:ascii="宋体" w:hAnsi="宋体" w:eastAsia="宋体"/>
                <w:color w:val="auto"/>
                <w:highlight w:val="none"/>
              </w:rPr>
            </w:pPr>
            <w:r>
              <w:rPr>
                <w:rFonts w:ascii="宋体" w:hAnsi="宋体" w:eastAsia="宋体" w:cs="宋体"/>
                <w:color w:val="auto"/>
                <w:sz w:val="20"/>
                <w:highlight w:val="none"/>
              </w:rPr>
              <w:t xml:space="preserve">……</w:t>
            </w:r>
            <w:r/>
          </w:p>
        </w:tc>
        <w:tc>
          <w:tcPr>
            <w:tcW w:w="512" w:type="pct"/>
            <w:vAlign w:val="top"/>
            <w:textDirection w:val="lrTb"/>
            <w:noWrap w:val="false"/>
          </w:tcPr>
          <w:p>
            <w:pPr>
              <w:jc w:val="center"/>
              <w:spacing w:line="276" w:lineRule="auto"/>
              <w:rPr>
                <w:rFonts w:ascii="宋体" w:hAnsi="宋体" w:eastAsia="宋体" w:cs="宋体"/>
                <w:color w:val="auto"/>
                <w:sz w:val="20"/>
                <w:highlight w:val="none"/>
              </w:rPr>
            </w:pPr>
            <w:r>
              <w:rPr>
                <w:rFonts w:ascii="宋体" w:hAnsi="宋体" w:eastAsia="宋体" w:cs="宋体"/>
                <w:color w:val="auto"/>
                <w:sz w:val="20"/>
                <w:highlight w:val="none"/>
              </w:rPr>
              <w:t xml:space="preserve">……</w:t>
            </w:r>
            <w:r/>
          </w:p>
        </w:tc>
        <w:tc>
          <w:tcPr>
            <w:tcW w:w="617" w:type="pct"/>
            <w:vAlign w:val="center"/>
            <w:textDirection w:val="lrTb"/>
            <w:noWrap/>
          </w:tcPr>
          <w:p>
            <w:pPr>
              <w:jc w:val="center"/>
              <w:spacing w:line="276" w:lineRule="auto"/>
              <w:rPr>
                <w:rFonts w:ascii="宋体" w:hAnsi="宋体" w:eastAsia="宋体"/>
                <w:color w:val="auto"/>
                <w:highlight w:val="none"/>
              </w:rPr>
            </w:pPr>
            <w:r>
              <w:rPr>
                <w:rFonts w:ascii="宋体" w:hAnsi="宋体" w:eastAsia="宋体" w:cs="宋体"/>
                <w:color w:val="auto"/>
                <w:sz w:val="20"/>
                <w:highlight w:val="none"/>
              </w:rPr>
              <w:t xml:space="preserve">……</w:t>
            </w:r>
            <w:r/>
          </w:p>
        </w:tc>
        <w:tc>
          <w:tcPr>
            <w:tcW w:w="445" w:type="pct"/>
            <w:vAlign w:val="center"/>
            <w:textDirection w:val="lrTb"/>
            <w:noWrap/>
          </w:tcPr>
          <w:p>
            <w:pPr>
              <w:jc w:val="center"/>
              <w:spacing w:line="276" w:lineRule="auto"/>
              <w:rPr>
                <w:rFonts w:ascii="宋体" w:hAnsi="宋体" w:eastAsia="宋体" w:cs="宋体"/>
                <w:color w:val="auto"/>
                <w:sz w:val="20"/>
                <w:highlight w:val="none"/>
              </w:rPr>
            </w:pPr>
            <w:r>
              <w:rPr>
                <w:rFonts w:ascii="宋体" w:hAnsi="宋体" w:eastAsia="宋体" w:cs="宋体"/>
                <w:color w:val="auto"/>
                <w:sz w:val="20"/>
                <w:highlight w:val="none"/>
              </w:rPr>
              <w:t xml:space="preserve">……</w:t>
            </w:r>
            <w:r/>
          </w:p>
        </w:tc>
        <w:tc>
          <w:tcPr>
            <w:tcW w:w="588" w:type="pct"/>
            <w:vAlign w:val="center"/>
            <w:textDirection w:val="lrTb"/>
            <w:noWrap w:val="false"/>
          </w:tcPr>
          <w:p>
            <w:pPr>
              <w:jc w:val="center"/>
              <w:spacing w:line="276" w:lineRule="auto"/>
              <w:rPr>
                <w:rFonts w:ascii="宋体" w:hAnsi="宋体" w:eastAsia="宋体"/>
                <w:color w:val="auto"/>
                <w:highlight w:val="none"/>
              </w:rPr>
            </w:pPr>
            <w:r>
              <w:rPr>
                <w:rFonts w:ascii="宋体" w:hAnsi="宋体" w:eastAsia="宋体" w:cs="宋体"/>
                <w:color w:val="auto"/>
                <w:sz w:val="20"/>
                <w:highlight w:val="none"/>
              </w:rPr>
              <w:t xml:space="preserve">……</w:t>
            </w:r>
            <w:r/>
          </w:p>
        </w:tc>
      </w:tr>
      <w:tr>
        <w:trPr>
          <w:jc w:val="center"/>
          <w:trHeight w:val="20"/>
        </w:trPr>
        <w:tc>
          <w:tcPr>
            <w:tcW w:w="505" w:type="pct"/>
            <w:vAlign w:val="center"/>
            <w:textDirection w:val="lrTb"/>
            <w:noWrap/>
          </w:tcPr>
          <w:p>
            <w:pPr>
              <w:jc w:val="center"/>
              <w:spacing w:line="276" w:lineRule="auto"/>
              <w:widowControl/>
              <w:rPr>
                <w:rFonts w:ascii="宋体" w:hAnsi="宋体" w:eastAsia="宋体" w:cs="宋体"/>
                <w:color w:val="auto"/>
                <w:sz w:val="20"/>
                <w:highlight w:val="none"/>
              </w:rPr>
            </w:pPr>
            <w:r>
              <w:rPr>
                <w:rFonts w:hint="eastAsia" w:ascii="宋体" w:hAnsi="宋体" w:eastAsia="宋体"/>
                <w:color w:val="auto"/>
                <w:szCs w:val="21"/>
                <w:highlight w:val="none"/>
              </w:rPr>
              <w:t xml:space="preserve">总计</w:t>
            </w:r>
            <w:r/>
          </w:p>
        </w:tc>
        <w:tc>
          <w:tcPr>
            <w:gridSpan w:val="6"/>
            <w:tcW w:w="3906" w:type="pct"/>
            <w:vAlign w:val="top"/>
            <w:textDirection w:val="lrTb"/>
            <w:noWrap w:val="false"/>
          </w:tcPr>
          <w:p>
            <w:pPr>
              <w:spacing w:line="276" w:lineRule="auto"/>
              <w:widowControl/>
              <w:rPr>
                <w:rFonts w:ascii="宋体" w:hAnsi="宋体" w:eastAsia="宋体" w:cs="宋体"/>
                <w:color w:val="auto"/>
                <w:sz w:val="20"/>
                <w:highlight w:val="none"/>
              </w:rPr>
            </w:pPr>
            <w:r>
              <w:rPr>
                <w:rFonts w:hint="eastAsia" w:ascii="宋体" w:hAnsi="宋体" w:eastAsia="宋体"/>
                <w:color w:val="auto"/>
                <w:szCs w:val="21"/>
                <w:highlight w:val="none"/>
              </w:rPr>
              <w:t xml:space="preserve">金额小写</w:t>
            </w:r>
            <w:r>
              <w:rPr>
                <w:rFonts w:hint="eastAsia" w:ascii="宋体" w:hAnsi="宋体" w:eastAsia="宋体" w:cs="宋体"/>
                <w:bCs/>
                <w:color w:val="auto"/>
                <w:szCs w:val="21"/>
                <w:highlight w:val="none"/>
                <w:u w:val="single"/>
              </w:rPr>
              <w:t xml:space="preserve">   </w:t>
            </w:r>
            <w:r>
              <w:rPr>
                <w:rFonts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rPr>
              <w:t xml:space="preserve">      </w:t>
            </w:r>
            <w:r>
              <w:rPr>
                <w:rFonts w:hint="eastAsia" w:ascii="宋体" w:hAnsi="宋体" w:eastAsia="宋体"/>
                <w:color w:val="auto"/>
                <w:szCs w:val="21"/>
                <w:highlight w:val="none"/>
              </w:rPr>
              <w:t xml:space="preserve">元</w:t>
            </w:r>
            <w:r/>
          </w:p>
        </w:tc>
        <w:tc>
          <w:tcPr>
            <w:tcW w:w="588" w:type="pct"/>
            <w:vAlign w:val="center"/>
            <w:textDirection w:val="lrTb"/>
            <w:noWrap w:val="false"/>
          </w:tcPr>
          <w:p>
            <w:pPr>
              <w:spacing w:line="276" w:lineRule="auto"/>
              <w:widowControl/>
              <w:rPr>
                <w:rFonts w:ascii="宋体" w:hAnsi="宋体" w:eastAsia="宋体" w:cs="宋体"/>
                <w:color w:val="auto"/>
                <w:sz w:val="20"/>
                <w:highlight w:val="none"/>
              </w:rPr>
            </w:pPr>
            <w:r>
              <w:rPr>
                <w:rFonts w:ascii="宋体" w:hAnsi="宋体" w:eastAsia="宋体" w:cs="宋体"/>
                <w:color w:val="auto"/>
                <w:sz w:val="20"/>
                <w:highlight w:val="none"/>
              </w:rPr>
            </w:r>
            <w:r/>
          </w:p>
        </w:tc>
      </w:tr>
    </w:tbl>
    <w:p>
      <w:pPr>
        <w:jc w:val="left"/>
        <w:spacing w:line="360" w:lineRule="auto"/>
        <w:rPr>
          <w:rFonts w:ascii="宋体" w:hAnsi="宋体" w:cs="宋体"/>
          <w:color w:val="auto"/>
          <w:szCs w:val="21"/>
          <w:highlight w:val="none"/>
          <w:u w:val="single"/>
        </w:rPr>
      </w:pPr>
      <w:r>
        <w:rPr>
          <w:rFonts w:ascii="宋体" w:hAnsi="宋体" w:cs="宋体"/>
          <w:color w:val="auto"/>
          <w:szCs w:val="21"/>
          <w:highlight w:val="none"/>
          <w:u w:val="single"/>
        </w:rPr>
      </w:r>
      <w:r/>
    </w:p>
    <w:p>
      <w:pPr>
        <w:jc w:val="left"/>
        <w:spacing w:line="360" w:lineRule="auto"/>
        <w:rPr>
          <w:rFonts w:ascii="宋体" w:hAnsi="宋体" w:cs="宋体"/>
          <w:dstrike/>
          <w:color w:val="auto"/>
          <w:szCs w:val="21"/>
          <w:highlight w:val="none"/>
          <w:u w:val="single"/>
        </w:rPr>
      </w:pPr>
      <w:r>
        <w:rPr>
          <w:rFonts w:hint="eastAsia" w:ascii="宋体" w:hAnsi="宋体" w:cs="宋体"/>
          <w:color w:val="auto"/>
          <w:szCs w:val="21"/>
          <w:highlight w:val="none"/>
          <w:u w:val="single"/>
        </w:rPr>
        <w:t xml:space="preserve">注：1.本表格磋商响应总报价需与开标一览表的磋商总报价一致。</w:t>
      </w:r>
      <w:r/>
    </w:p>
    <w:p>
      <w:pPr>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2.响应单位可针对本项目实际情况自行调整报价表格式。</w:t>
      </w:r>
      <w:r/>
    </w:p>
    <w:p>
      <w:pPr>
        <w:pStyle w:val="903"/>
        <w:jc w:val="both"/>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pStyle w:val="903"/>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磋商响应单位：（签章）</w:t>
      </w:r>
      <w:r/>
    </w:p>
    <w:p>
      <w:pPr>
        <w:pStyle w:val="903"/>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908"/>
        <w:rPr>
          <w:color w:val="auto"/>
          <w:highlight w:val="none"/>
        </w:rPr>
        <w:sectPr>
          <w:footnotePr/>
          <w:endnotePr/>
          <w:type w:val="nextPage"/>
          <w:pgSz w:w="11906" w:h="16838" w:orient="portrait"/>
          <w:pgMar w:top="1440" w:right="1417" w:bottom="1440" w:left="1417" w:header="964" w:footer="964" w:gutter="0"/>
          <w:cols w:num="1" w:sep="0" w:space="720" w:equalWidth="1"/>
          <w:docGrid w:linePitch="360"/>
        </w:sectPr>
      </w:pPr>
      <w:r>
        <w:rPr>
          <w:color w:val="auto"/>
          <w:highlight w:val="none"/>
        </w:rPr>
      </w:r>
      <w:r/>
    </w:p>
    <w:p>
      <w:pPr>
        <w:ind w:firstLine="422"/>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附件3：磋商响应函</w:t>
      </w:r>
      <w:r/>
    </w:p>
    <w:p>
      <w:pPr>
        <w:ind w:firstLine="422"/>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磋商响应函</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苏州市创杰招投标咨询服务有限公司：</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我们收到你们</w:t>
      </w:r>
      <w:r>
        <w:rPr>
          <w:rFonts w:hint="eastAsia" w:ascii="宋体" w:hAnsi="宋体" w:cs="宋体"/>
          <w:color w:val="auto"/>
          <w:szCs w:val="21"/>
          <w:highlight w:val="none"/>
          <w:lang w:eastAsia="zh-CN"/>
        </w:rPr>
        <w:t xml:space="preserve">JSZC-320506-CJZB-C2026-0003</w:t>
      </w:r>
      <w:r>
        <w:rPr>
          <w:rFonts w:hint="eastAsia" w:ascii="宋体" w:hAnsi="宋体" w:cs="宋体"/>
          <w:color w:val="auto"/>
          <w:szCs w:val="21"/>
          <w:highlight w:val="none"/>
        </w:rPr>
        <w:t xml:space="preserve">号磋商采购文件，经仔细阅读和研究，我们决定参加本项目的磋商。</w:t>
      </w:r>
      <w:r/>
    </w:p>
    <w:p>
      <w:pPr>
        <w:ind w:firstLine="420"/>
        <w:spacing w:line="360" w:lineRule="auto"/>
        <w:rPr>
          <w:rFonts w:ascii="宋体" w:hAnsi="宋体" w:cs="宋体"/>
          <w:color w:val="auto"/>
          <w:highlight w:val="none"/>
          <w:lang w:val="zh-CN"/>
        </w:rPr>
      </w:pPr>
      <w:r>
        <w:rPr>
          <w:rFonts w:hint="eastAsia" w:ascii="宋体" w:hAnsi="宋体" w:cs="宋体"/>
          <w:color w:val="auto"/>
          <w:szCs w:val="21"/>
          <w:highlight w:val="none"/>
        </w:rPr>
        <w:t xml:space="preserve">1、我们愿意按照磋商采购文件的一切要求，提供本次采购的全部服务。</w:t>
      </w:r>
      <w:r>
        <w:rPr>
          <w:rFonts w:hint="eastAsia" w:ascii="宋体" w:hAnsi="宋体" w:cs="宋体"/>
          <w:color w:val="auto"/>
          <w:highlight w:val="none"/>
        </w:rPr>
        <w:t xml:space="preserve">我们保证成交后不会对成交价格提出任何异议，更不会以任何理由要求采购单位针对成交范围的价款要求额外补偿。不会以不了解采购文件、合同文件为由或曲解、片面理解采购文件、合同文件或割裂采购文件、合同文件，断章取义，向采购单位提出任何补偿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2、如果我们的响应文件被接受，我们将严格履行磋商采购文件中规定的每一项要求，按期、按质、按量履行服务义务。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3、我们同意按磋商采购文件中的规定，本响应文件的有效期限为自开标之日起45日。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4、我们愿意提供采购单位在磋商采购文件中要求的所有资料。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5、我方愿意遵守磋商采购文件中所列的收费标准。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6、我方在磋商响应文件和磋商中所作的承诺在磋商后保持有效，不作任何更改和变动。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7、如我方成为成交单位，我方愿意在领取成交通知书时按采购文件要求向代理机构支付代理服务费。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8、我们愿意按照</w:t>
      </w:r>
      <w:r>
        <w:rPr>
          <w:rFonts w:hint="eastAsia" w:ascii="宋体" w:hAnsi="宋体" w:cs="宋体"/>
          <w:bCs/>
          <w:color w:val="auto"/>
          <w:szCs w:val="21"/>
          <w:highlight w:val="none"/>
        </w:rPr>
        <w:t xml:space="preserve">《中华人民共和国民法典》</w:t>
      </w:r>
      <w:r>
        <w:rPr>
          <w:rFonts w:hint="eastAsia" w:ascii="宋体" w:hAnsi="宋体" w:cs="宋体"/>
          <w:color w:val="auto"/>
          <w:szCs w:val="21"/>
          <w:highlight w:val="none"/>
        </w:rPr>
        <w:t xml:space="preserve">履行自己应该承担的全部责任。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9、我们愿意按照贵公司磋商采购文件的要求提供电子响应文件（成交后5个工作日内提供两份纸质响应文件），并保证全部磋商响应文件内容真实有效，若有虚假，我公司愿意承担与此相关的一切责任。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10、综合说明：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（1）伴随服务及配合措施；（2）要求采购单位提供的配合；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（3）对磋商采购文件有不同意见的偏离说明；（4）其它说明；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所有有关标书的函电，请按下列地址联系：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              邮编：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联系人：            地址：</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开户名称：          电话：</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开户银行：          传真：</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开户账号：          邮箱地址：</w:t>
      </w:r>
      <w:r/>
    </w:p>
    <w:p>
      <w:pPr>
        <w:pStyle w:val="903"/>
        <w:jc w:val="both"/>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903"/>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磋商响应单位：（签章）</w:t>
      </w:r>
      <w:r/>
    </w:p>
    <w:p>
      <w:pPr>
        <w:pStyle w:val="903"/>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903"/>
        <w:ind w:firstLine="422"/>
        <w:jc w:val="both"/>
        <w:pageBreakBefore/>
        <w:spacing w:line="360" w:lineRule="auto"/>
        <w:rPr>
          <w:rFonts w:ascii="宋体" w:hAnsi="宋体" w:eastAsia="宋体" w:cs="宋体"/>
          <w:b/>
          <w:color w:val="auto"/>
          <w:sz w:val="21"/>
          <w:highlight w:val="none"/>
        </w:rPr>
      </w:pPr>
      <w:r>
        <w:rPr>
          <w:rFonts w:hint="eastAsia" w:ascii="宋体" w:hAnsi="宋体" w:eastAsia="宋体" w:cs="宋体"/>
          <w:b/>
          <w:color w:val="auto"/>
          <w:sz w:val="21"/>
          <w:highlight w:val="none"/>
        </w:rPr>
        <w:t xml:space="preserve">附件4：关于资格文件的声明函</w:t>
      </w:r>
      <w:r/>
    </w:p>
    <w:p>
      <w:pPr>
        <w:pStyle w:val="903"/>
        <w:jc w:val="center"/>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pStyle w:val="903"/>
        <w:jc w:val="center"/>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关于资格文件的声明函</w:t>
      </w:r>
      <w:r/>
    </w:p>
    <w:p>
      <w:pPr>
        <w:pStyle w:val="903"/>
        <w:spacing w:line="360" w:lineRule="auto"/>
        <w:rPr>
          <w:rFonts w:ascii="宋体" w:hAnsi="宋体" w:eastAsia="宋体" w:cs="宋体"/>
          <w:color w:val="auto"/>
          <w:sz w:val="21"/>
          <w:highlight w:val="none"/>
          <w:u w:val="single"/>
        </w:rPr>
      </w:pPr>
      <w:r>
        <w:rPr>
          <w:rFonts w:ascii="宋体" w:hAnsi="宋体" w:eastAsia="宋体" w:cs="宋体"/>
          <w:color w:val="auto"/>
          <w:sz w:val="21"/>
          <w:highlight w:val="none"/>
          <w:u w:val="single"/>
        </w:rPr>
      </w:r>
      <w:r/>
    </w:p>
    <w:p>
      <w:pPr>
        <w:pStyle w:val="903"/>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rPr>
        <w:t xml:space="preserve">：</w:t>
      </w:r>
      <w:r/>
    </w:p>
    <w:p>
      <w:pPr>
        <w:pStyle w:val="903"/>
        <w:spacing w:line="360" w:lineRule="auto"/>
        <w:rPr>
          <w:rFonts w:ascii="宋体" w:hAnsi="宋体" w:eastAsia="宋体" w:cs="宋体"/>
          <w:color w:val="auto"/>
          <w:sz w:val="21"/>
          <w:szCs w:val="21"/>
          <w:highlight w:val="none"/>
        </w:rPr>
      </w:pPr>
      <w:r>
        <w:rPr>
          <w:rFonts w:hint="eastAsia" w:ascii="宋体" w:hAnsi="宋体" w:eastAsia="宋体" w:cs="宋体"/>
          <w:color w:val="auto"/>
          <w:sz w:val="21"/>
          <w:highlight w:val="none"/>
        </w:rPr>
        <w:t xml:space="preserve">本公司愿就由贵公司组织实施的编号为号</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rPr>
        <w:t xml:space="preserve">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p>
    <w:p>
      <w:pPr>
        <w:pStyle w:val="903"/>
        <w:jc w:val="both"/>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pStyle w:val="903"/>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磋商响应单位：（签章）</w:t>
      </w:r>
      <w:r/>
    </w:p>
    <w:p>
      <w:pPr>
        <w:pStyle w:val="903"/>
        <w:jc w:val="both"/>
        <w:spacing w:line="360" w:lineRule="auto"/>
        <w:rPr>
          <w:rFonts w:ascii="宋体" w:hAnsi="宋体" w:eastAsia="宋体" w:cs="宋体"/>
          <w:color w:val="auto"/>
          <w:sz w:val="21"/>
          <w:szCs w:val="21"/>
          <w:highlight w:val="none"/>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color w:val="auto"/>
          <w:sz w:val="21"/>
          <w:szCs w:val="21"/>
          <w:highlight w:val="none"/>
        </w:rPr>
        <w:t xml:space="preserve">日期：        年    月    日</w:t>
      </w:r>
      <w:r/>
    </w:p>
    <w:p>
      <w:pPr>
        <w:ind w:firstLine="422"/>
        <w:pageBreakBefore/>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附件5：（磋商响应单位）法人授权委托书</w:t>
      </w:r>
      <w:r/>
    </w:p>
    <w:p>
      <w:pPr>
        <w:pStyle w:val="903"/>
        <w:ind w:firstLine="422"/>
        <w:jc w:val="center"/>
        <w:spacing w:line="360" w:lineRule="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903"/>
        <w:ind w:firstLine="422"/>
        <w:jc w:val="center"/>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法人授权委托书</w:t>
      </w:r>
      <w:r/>
    </w:p>
    <w:p>
      <w:pPr>
        <w:pStyle w:val="903"/>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本授权书声明： </w:t>
      </w:r>
      <w:r>
        <w:rPr>
          <w:rFonts w:hint="eastAsia" w:ascii="宋体" w:hAnsi="宋体" w:cs="宋体"/>
          <w:color w:val="auto"/>
          <w:szCs w:val="21"/>
          <w:highlight w:val="none"/>
          <w:u w:val="single"/>
        </w:rPr>
        <w:t xml:space="preserve">（供应商名称）</w:t>
      </w:r>
      <w:r>
        <w:rPr>
          <w:rFonts w:hint="eastAsia" w:ascii="宋体" w:hAnsi="宋体" w:cs="宋体"/>
          <w:color w:val="auto"/>
          <w:szCs w:val="21"/>
          <w:highlight w:val="none"/>
        </w:rPr>
        <w:t xml:space="preserve">授权 </w:t>
      </w:r>
      <w:r>
        <w:rPr>
          <w:rFonts w:hint="eastAsia" w:ascii="宋体" w:hAnsi="宋体" w:cs="宋体"/>
          <w:color w:val="auto"/>
          <w:szCs w:val="21"/>
          <w:highlight w:val="none"/>
          <w:u w:val="single"/>
        </w:rPr>
        <w:t xml:space="preserve">（被授权人的姓名）</w:t>
      </w:r>
      <w:r>
        <w:rPr>
          <w:rFonts w:hint="eastAsia" w:ascii="宋体" w:hAnsi="宋体" w:cs="宋体"/>
          <w:color w:val="auto"/>
          <w:szCs w:val="21"/>
          <w:highlight w:val="none"/>
        </w:rPr>
        <w:t xml:space="preserve">为我方授权代表（即代理人），参加</w:t>
      </w:r>
      <w:r>
        <w:rPr>
          <w:rFonts w:hint="eastAsia" w:ascii="宋体" w:hAnsi="宋体" w:cs="宋体"/>
          <w:color w:val="auto"/>
          <w:szCs w:val="21"/>
          <w:highlight w:val="none"/>
          <w:u w:val="single"/>
        </w:rPr>
        <w:t xml:space="preserve">苏州市创杰招投标咨询服务有限公司</w:t>
      </w:r>
      <w:r>
        <w:rPr>
          <w:rFonts w:hint="eastAsia" w:ascii="宋体" w:hAnsi="宋体" w:cs="宋体"/>
          <w:color w:val="auto"/>
          <w:szCs w:val="21"/>
          <w:highlight w:val="none"/>
        </w:rPr>
        <w:t xml:space="preserve">组织实施的编号为</w:t>
      </w:r>
      <w:r>
        <w:rPr>
          <w:rFonts w:hint="eastAsia" w:ascii="宋体" w:hAnsi="宋体" w:cs="宋体"/>
          <w:color w:val="auto"/>
          <w:szCs w:val="21"/>
          <w:highlight w:val="none"/>
          <w:u w:val="single"/>
        </w:rPr>
        <w:t xml:space="preserve">【采购编号】</w:t>
      </w:r>
      <w:r>
        <w:rPr>
          <w:rFonts w:hint="eastAsia" w:ascii="宋体" w:hAnsi="宋体" w:cs="宋体"/>
          <w:color w:val="auto"/>
          <w:szCs w:val="21"/>
          <w:highlight w:val="none"/>
        </w:rPr>
        <w:t xml:space="preserve">的竞争性磋商项目。代理人在本次招标活动过程、合同签订及处理有关事宜所作出的全部意思表示（包括签署的全部文件），我司均予以承认并由我司承担相应法律后果。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本授权委托书有效期自委托书作出之日起至本项目合同履行完毕之日止。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代理人无转委托权。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被授权人身份证号码：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被授权人联系电话：</w:t>
      </w:r>
      <w:r>
        <w:rPr>
          <w:rFonts w:hint="eastAsia" w:ascii="宋体" w:hAnsi="宋体" w:cs="宋体"/>
          <w:color w:val="auto"/>
          <w:szCs w:val="21"/>
          <w:highlight w:val="none"/>
          <w:u w:val="single"/>
        </w:rPr>
        <w:t xml:space="preserve">（手机）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单位名称：（加盖CA电子公章）</w:t>
      </w:r>
      <w:r/>
    </w:p>
    <w:p>
      <w:pPr>
        <w:ind w:right="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备注：供应商如有授权委托，必须提供法定代表人身份证复印件、法人授权委托书及代理人身份证复印件，否则投标无效；</w:t>
      </w:r>
      <w:r/>
    </w:p>
    <w:p>
      <w:pPr>
        <w:pStyle w:val="903"/>
        <w:ind w:left="630" w:firstLine="422"/>
        <w:spacing w:line="360" w:lineRule="auto"/>
        <w:rPr>
          <w:rFonts w:ascii="宋体" w:hAnsi="宋体" w:eastAsia="宋体" w:cs="宋体"/>
          <w:color w:val="auto"/>
          <w:sz w:val="21"/>
          <w:szCs w:val="21"/>
          <w:highlight w:val="none"/>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b/>
          <w:color w:val="auto"/>
          <w:sz w:val="21"/>
          <w:szCs w:val="21"/>
          <w:highlight w:val="none"/>
        </w:rPr>
        <w:t xml:space="preserve">供应商无授权委托的情况下，必须提供法定代表人身份证复印件，否则投标无效。</w:t>
      </w:r>
      <w:r/>
    </w:p>
    <w:p>
      <w:pPr>
        <w:ind w:firstLine="422"/>
        <w:jc w:val="left"/>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附件6：服务偏离表</w:t>
      </w:r>
      <w:r/>
    </w:p>
    <w:p>
      <w:pPr>
        <w:ind w:firstLine="422"/>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服务偏离表</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采购编号：</w:t>
      </w:r>
      <w:r/>
    </w:p>
    <w:tbl>
      <w:tblPr>
        <w:tblStyle w:val="720"/>
        <w:tblW w:w="9136" w:type="dxa"/>
        <w:tblInd w:w="108" w:type="dxa"/>
        <w:tblLayout w:type="fixed"/>
        <w:tblCellMar>
          <w:left w:w="0" w:type="dxa"/>
          <w:top w:w="0" w:type="dxa"/>
          <w:right w:w="0" w:type="dxa"/>
          <w:bottom w:w="0" w:type="dxa"/>
        </w:tblCellMar>
        <w:tblLook w:val="04A0" w:firstRow="1" w:lastRow="0" w:firstColumn="1" w:lastColumn="0" w:noHBand="0" w:noVBand="1"/>
      </w:tblPr>
      <w:tblGrid>
        <w:gridCol w:w="1079"/>
        <w:gridCol w:w="2246"/>
        <w:gridCol w:w="3699"/>
        <w:gridCol w:w="2112"/>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采购服务要求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9"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投标响应（正偏离、负偏离、无偏离）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2"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偏离说明（如有）</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420"/>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9" w:type="dxa"/>
            <w:textDirection w:val="lrTb"/>
            <w:noWrap w:val="false"/>
          </w:tcPr>
          <w:p>
            <w:pPr>
              <w:ind w:firstLine="420"/>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2" w:type="dxa"/>
            <w:textDirection w:val="lrTb"/>
            <w:noWrap w:val="false"/>
          </w:tcPr>
          <w:p>
            <w:pPr>
              <w:ind w:firstLine="420"/>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420"/>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9" w:type="dxa"/>
            <w:textDirection w:val="lrTb"/>
            <w:noWrap w:val="false"/>
          </w:tcPr>
          <w:p>
            <w:pPr>
              <w:ind w:firstLine="420"/>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2" w:type="dxa"/>
            <w:textDirection w:val="lrTb"/>
            <w:noWrap w:val="false"/>
          </w:tcPr>
          <w:p>
            <w:pPr>
              <w:ind w:firstLine="420"/>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420"/>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9" w:type="dxa"/>
            <w:textDirection w:val="lrTb"/>
            <w:noWrap w:val="false"/>
          </w:tcPr>
          <w:p>
            <w:pPr>
              <w:ind w:firstLine="420"/>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2" w:type="dxa"/>
            <w:textDirection w:val="lrTb"/>
            <w:noWrap w:val="false"/>
          </w:tcPr>
          <w:p>
            <w:pPr>
              <w:ind w:firstLine="420"/>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420"/>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9" w:type="dxa"/>
            <w:textDirection w:val="lrTb"/>
            <w:noWrap w:val="false"/>
          </w:tcPr>
          <w:p>
            <w:pPr>
              <w:ind w:firstLine="420"/>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2" w:type="dxa"/>
            <w:textDirection w:val="lrTb"/>
            <w:noWrap w:val="false"/>
          </w:tcPr>
          <w:p>
            <w:pPr>
              <w:ind w:firstLine="420"/>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420"/>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9" w:type="dxa"/>
            <w:textDirection w:val="lrTb"/>
            <w:noWrap w:val="false"/>
          </w:tcPr>
          <w:p>
            <w:pPr>
              <w:ind w:firstLine="420"/>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2" w:type="dxa"/>
            <w:textDirection w:val="lrTb"/>
            <w:noWrap w:val="false"/>
          </w:tcPr>
          <w:p>
            <w:pPr>
              <w:ind w:firstLine="420"/>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420"/>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9" w:type="dxa"/>
            <w:textDirection w:val="lrTb"/>
            <w:noWrap w:val="false"/>
          </w:tcPr>
          <w:p>
            <w:pPr>
              <w:ind w:firstLine="420"/>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2" w:type="dxa"/>
            <w:textDirection w:val="lrTb"/>
            <w:noWrap w:val="false"/>
          </w:tcPr>
          <w:p>
            <w:pPr>
              <w:ind w:firstLine="420"/>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磋商响应单位：（签章）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ind w:left="735" w:hanging="73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注：1、磋商响应单位应对照采购文件技术要求等要求，所投标的物（服务）与采购文件的规定有偏离的，应在此表中申明与技术要求条文的偏差和例外。</w:t>
      </w:r>
      <w:r/>
    </w:p>
    <w:p>
      <w:pPr>
        <w:ind w:left="735" w:hanging="31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br w:type="page" w:clear="all"/>
      </w:r>
      <w:r>
        <w:rPr>
          <w:rFonts w:hint="eastAsia" w:ascii="宋体" w:hAnsi="宋体" w:cs="宋体"/>
          <w:b/>
          <w:color w:val="auto"/>
          <w:szCs w:val="21"/>
          <w:highlight w:val="none"/>
        </w:rPr>
        <w:t xml:space="preserve">附件7：商务条款偏离表</w:t>
      </w:r>
      <w:r/>
    </w:p>
    <w:p>
      <w:pPr>
        <w:ind w:firstLine="422"/>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商务条款偏离表</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采购编号：</w:t>
      </w:r>
      <w:r/>
    </w:p>
    <w:tbl>
      <w:tblPr>
        <w:tblStyle w:val="720"/>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730"/>
        <w:gridCol w:w="2461"/>
        <w:gridCol w:w="3738"/>
        <w:gridCol w:w="2750"/>
      </w:tblGrid>
      <w:tr>
        <w:trPr>
          <w:trHeight w:val="80"/>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采购要求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投标响应（正偏离、负偏离、无偏离）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偏离说明（如有）</w:t>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合同履约期限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服务地点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trHeight w:val="3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付款步骤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其他商务要求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磋商响应单位：（签章）</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ind w:left="420" w:hanging="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pStyle w:val="909"/>
        <w:spacing w:after="0" w:line="360" w:lineRule="auto"/>
        <w:rPr>
          <w:rFonts w:ascii="宋体" w:hAnsi="宋体" w:cs="宋体"/>
          <w:color w:val="auto"/>
          <w:highlight w:val="none"/>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color w:val="auto"/>
          <w:highlight w:val="none"/>
        </w:rPr>
      </w:r>
      <w:r/>
    </w:p>
    <w:p>
      <w:pPr>
        <w:pageBreakBefore/>
        <w:spacing w:line="360" w:lineRule="auto"/>
        <w:rPr>
          <w:rFonts w:ascii="宋体" w:hAnsi="宋体" w:cs="宋体"/>
          <w:b/>
          <w:color w:val="auto"/>
          <w:highlight w:val="none"/>
        </w:rPr>
        <w:outlineLvl w:val="1"/>
      </w:pPr>
      <w:r>
        <w:rPr>
          <w:rFonts w:hint="eastAsia" w:ascii="宋体" w:hAnsi="宋体" w:cs="宋体"/>
          <w:b/>
          <w:color w:val="auto"/>
          <w:highlight w:val="none"/>
        </w:rPr>
        <w:t xml:space="preserve">附件8：投标（响应）保证承诺书</w:t>
      </w:r>
      <w:r/>
    </w:p>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投标（响应）保证承诺书</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的投标（响应），并做出如下承诺：</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一、除不可抗力外，我单位如果发生以下行为，将在行为发生的10个工作日内，向贵方</w:t>
      </w:r>
      <w:r>
        <w:rPr>
          <w:rFonts w:hint="eastAsia" w:ascii="宋体" w:hAnsi="宋体" w:cs="宋体"/>
          <w:color w:val="auto"/>
          <w:szCs w:val="21"/>
          <w:highlight w:val="none"/>
          <w:u w:val="single"/>
        </w:rPr>
        <w:t xml:space="preserve">（或采购单位）</w:t>
      </w:r>
      <w:r>
        <w:rPr>
          <w:rFonts w:hint="eastAsia" w:ascii="宋体" w:hAnsi="宋体" w:cs="宋体"/>
          <w:color w:val="auto"/>
          <w:szCs w:val="21"/>
          <w:highlight w:val="none"/>
        </w:rPr>
        <w:t xml:space="preserve">支付本采购文件公布的预算金额（或最高限价）的2%作为违约赔偿金（数量不确定的单价采购须约定具体金额）。</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1.自投标（响应）截止时间至本项目发布中标（成交）公告为止，撤销投标（响应）；</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2.中标（成交）后不依法与采购单位签订合同；</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3.中标（成交）后不按本采购文件规定向采购单位提交履约保证金（如有）；</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4.中标（成交）后不按本采购文件规定向贵方缴纳采购代理费。</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二、我单位知晓上述行为的法律后果，承认本承诺书作为贵方</w:t>
      </w:r>
      <w:r>
        <w:rPr>
          <w:rFonts w:hint="eastAsia" w:ascii="宋体" w:hAnsi="宋体" w:cs="宋体"/>
          <w:color w:val="auto"/>
          <w:szCs w:val="21"/>
          <w:highlight w:val="none"/>
          <w:u w:val="single"/>
        </w:rPr>
        <w:t xml:space="preserve">（或采购单位）</w:t>
      </w:r>
      <w:r>
        <w:rPr>
          <w:rFonts w:hint="eastAsia" w:ascii="宋体" w:hAnsi="宋体" w:cs="宋体"/>
          <w:color w:val="auto"/>
          <w:szCs w:val="21"/>
          <w:highlight w:val="none"/>
        </w:rPr>
        <w:t xml:space="preserve">要求我单位履行违约赔偿义务的依据作用。</w:t>
      </w:r>
      <w:r/>
    </w:p>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投标（响应）人（签章）：</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地址：</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电话：</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传真：</w:t>
      </w:r>
      <w:r/>
    </w:p>
    <w:p>
      <w:pPr>
        <w:jc w:val="left"/>
        <w:spacing w:line="360" w:lineRule="auto"/>
        <w:widowControl/>
        <w:rPr>
          <w:rFonts w:ascii="宋体" w:hAnsi="宋体" w:cs="宋体"/>
          <w:color w:val="auto"/>
          <w:szCs w:val="21"/>
          <w:highlight w:val="none"/>
          <w:u w:val="single"/>
        </w:rPr>
      </w:pPr>
      <w:r>
        <w:rPr>
          <w:rFonts w:hint="eastAsia" w:ascii="宋体" w:hAnsi="宋体" w:cs="宋体"/>
          <w:color w:val="auto"/>
          <w:szCs w:val="21"/>
          <w:highlight w:val="none"/>
        </w:rPr>
        <w:t xml:space="preserve">电子邮件：</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邮编：</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日期：</w:t>
      </w:r>
      <w:r/>
    </w:p>
    <w:p>
      <w:pPr>
        <w:pStyle w:val="908"/>
        <w:rPr>
          <w:color w:val="auto"/>
          <w:highlight w:val="none"/>
        </w:rPr>
        <w:sectPr>
          <w:footnotePr/>
          <w:endnotePr/>
          <w:type w:val="nextPage"/>
          <w:pgSz w:w="11906" w:h="16838" w:orient="portrait"/>
          <w:pgMar w:top="1440" w:right="1417" w:bottom="1440" w:left="1417" w:header="964" w:footer="964" w:gutter="0"/>
          <w:cols w:num="1" w:sep="0" w:space="720" w:equalWidth="1"/>
          <w:docGrid w:linePitch="360"/>
        </w:sectPr>
      </w:pPr>
      <w:r>
        <w:rPr>
          <w:color w:val="auto"/>
          <w:highlight w:val="none"/>
        </w:rPr>
      </w:r>
      <w:r/>
    </w:p>
    <w:p>
      <w:pPr>
        <w:pStyle w:val="903"/>
        <w:ind w:firstLine="0"/>
        <w:spacing w:line="360"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附件9：磋商响应单位基本情况表</w:t>
      </w:r>
      <w:r/>
    </w:p>
    <w:p>
      <w:pPr>
        <w:pStyle w:val="903"/>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磋商响应单位基本情况表</w:t>
      </w:r>
      <w:r/>
    </w:p>
    <w:p>
      <w:pPr>
        <w:pStyle w:val="90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单位名称：（签章）</w:t>
      </w:r>
      <w:r/>
    </w:p>
    <w:tbl>
      <w:tblPr>
        <w:tblStyle w:val="720"/>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81"/>
        <w:gridCol w:w="1773"/>
        <w:gridCol w:w="1959"/>
        <w:gridCol w:w="3175"/>
      </w:tblGrid>
      <w:tr>
        <w:trPr>
          <w:cantSplit/>
          <w:jc w:val="center"/>
          <w:trHeight w:val="567"/>
        </w:trPr>
        <w:tc>
          <w:tcPr>
            <w:tcW w:w="2381" w:type="dxa"/>
            <w:vAlign w:val="center"/>
            <w:textDirection w:val="lrTb"/>
            <w:noWrap w:val="false"/>
          </w:tcPr>
          <w:p>
            <w:pPr>
              <w:pStyle w:val="90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tc>
        <w:tc>
          <w:tcPr>
            <w:tcW w:w="1773" w:type="dxa"/>
            <w:vAlign w:val="center"/>
            <w:textDirection w:val="lrTb"/>
            <w:noWrap w:val="false"/>
          </w:tcPr>
          <w:p>
            <w:pPr>
              <w:pStyle w:val="903"/>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59" w:type="dxa"/>
            <w:vAlign w:val="center"/>
            <w:textDirection w:val="lrTb"/>
            <w:noWrap w:val="false"/>
          </w:tcPr>
          <w:p>
            <w:pPr>
              <w:pStyle w:val="90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成立日期</w:t>
            </w:r>
            <w:r/>
          </w:p>
        </w:tc>
        <w:tc>
          <w:tcPr>
            <w:tcW w:w="3175" w:type="dxa"/>
            <w:vAlign w:val="center"/>
            <w:textDirection w:val="lrTb"/>
            <w:noWrap w:val="false"/>
          </w:tcPr>
          <w:p>
            <w:pPr>
              <w:pStyle w:val="903"/>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567"/>
        </w:trPr>
        <w:tc>
          <w:tcPr>
            <w:tcW w:w="2381" w:type="dxa"/>
            <w:vAlign w:val="center"/>
            <w:textDirection w:val="lrTb"/>
            <w:noWrap w:val="false"/>
          </w:tcPr>
          <w:p>
            <w:pPr>
              <w:pStyle w:val="90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企业地址</w:t>
            </w:r>
            <w:r/>
          </w:p>
        </w:tc>
        <w:tc>
          <w:tcPr>
            <w:tcW w:w="1773" w:type="dxa"/>
            <w:vAlign w:val="center"/>
            <w:textDirection w:val="lrTb"/>
            <w:noWrap w:val="false"/>
          </w:tcPr>
          <w:p>
            <w:pPr>
              <w:pStyle w:val="903"/>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59" w:type="dxa"/>
            <w:vAlign w:val="center"/>
            <w:textDirection w:val="lrTb"/>
            <w:noWrap w:val="false"/>
          </w:tcPr>
          <w:p>
            <w:pPr>
              <w:pStyle w:val="90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注册资本</w:t>
            </w:r>
            <w:r/>
          </w:p>
        </w:tc>
        <w:tc>
          <w:tcPr>
            <w:tcW w:w="3175" w:type="dxa"/>
            <w:vAlign w:val="center"/>
            <w:textDirection w:val="lrTb"/>
            <w:noWrap w:val="false"/>
          </w:tcPr>
          <w:p>
            <w:pPr>
              <w:pStyle w:val="90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jc w:val="center"/>
          <w:trHeight w:val="567"/>
        </w:trPr>
        <w:tc>
          <w:tcPr>
            <w:tcW w:w="2381" w:type="dxa"/>
            <w:vAlign w:val="center"/>
            <w:textDirection w:val="lrTb"/>
            <w:noWrap w:val="false"/>
          </w:tcPr>
          <w:p>
            <w:pPr>
              <w:pStyle w:val="90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经营范围</w:t>
            </w:r>
            <w:r/>
          </w:p>
        </w:tc>
        <w:tc>
          <w:tcPr>
            <w:gridSpan w:val="3"/>
            <w:tcW w:w="6907" w:type="dxa"/>
            <w:vAlign w:val="center"/>
            <w:textDirection w:val="lrTb"/>
            <w:noWrap w:val="false"/>
          </w:tcPr>
          <w:p>
            <w:pPr>
              <w:pStyle w:val="903"/>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567"/>
        </w:trPr>
        <w:tc>
          <w:tcPr>
            <w:tcW w:w="2381" w:type="dxa"/>
            <w:vAlign w:val="center"/>
            <w:textDirection w:val="lrTb"/>
            <w:noWrap w:val="false"/>
          </w:tcPr>
          <w:p>
            <w:pPr>
              <w:pStyle w:val="90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职工人数</w:t>
            </w:r>
            <w:r/>
          </w:p>
        </w:tc>
        <w:tc>
          <w:tcPr>
            <w:tcW w:w="1773" w:type="dxa"/>
            <w:vAlign w:val="center"/>
            <w:textDirection w:val="lrTb"/>
            <w:noWrap w:val="false"/>
          </w:tcPr>
          <w:p>
            <w:pPr>
              <w:pStyle w:val="903"/>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59" w:type="dxa"/>
            <w:vAlign w:val="center"/>
            <w:textDirection w:val="lrTb"/>
            <w:noWrap w:val="false"/>
          </w:tcPr>
          <w:p>
            <w:pPr>
              <w:pStyle w:val="90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其中：有中高级以上职称的人数</w:t>
            </w:r>
            <w:r/>
          </w:p>
        </w:tc>
        <w:tc>
          <w:tcPr>
            <w:tcW w:w="3175" w:type="dxa"/>
            <w:vAlign w:val="center"/>
            <w:textDirection w:val="lrTb"/>
            <w:noWrap w:val="false"/>
          </w:tcPr>
          <w:p>
            <w:pPr>
              <w:pStyle w:val="903"/>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567"/>
        </w:trPr>
        <w:tc>
          <w:tcPr>
            <w:tcW w:w="2381" w:type="dxa"/>
            <w:vAlign w:val="center"/>
            <w:textDirection w:val="lrTb"/>
            <w:noWrap w:val="false"/>
          </w:tcPr>
          <w:p>
            <w:pPr>
              <w:pStyle w:val="903"/>
              <w:ind w:firstLine="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资产总计</w:t>
            </w:r>
            <w:r/>
          </w:p>
        </w:tc>
        <w:tc>
          <w:tcPr>
            <w:tcW w:w="1773" w:type="dxa"/>
            <w:vAlign w:val="center"/>
            <w:textDirection w:val="lrTb"/>
            <w:noWrap w:val="false"/>
          </w:tcPr>
          <w:p>
            <w:pPr>
              <w:pStyle w:val="903"/>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c>
          <w:tcPr>
            <w:tcW w:w="1959" w:type="dxa"/>
            <w:vAlign w:val="center"/>
            <w:textDirection w:val="lrTb"/>
            <w:noWrap w:val="false"/>
          </w:tcPr>
          <w:p>
            <w:pPr>
              <w:pStyle w:val="903"/>
              <w:ind w:firstLine="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净资产</w:t>
            </w:r>
            <w:r/>
          </w:p>
        </w:tc>
        <w:tc>
          <w:tcPr>
            <w:tcW w:w="3175" w:type="dxa"/>
            <w:vAlign w:val="center"/>
            <w:textDirection w:val="lrTb"/>
            <w:noWrap w:val="false"/>
          </w:tcPr>
          <w:p>
            <w:pPr>
              <w:pStyle w:val="903"/>
              <w:ind w:firstLine="210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jc w:val="center"/>
          <w:trHeight w:val="567"/>
        </w:trPr>
        <w:tc>
          <w:tcPr>
            <w:tcW w:w="2381" w:type="dxa"/>
            <w:vAlign w:val="center"/>
            <w:textDirection w:val="lrTb"/>
            <w:noWrap w:val="false"/>
          </w:tcPr>
          <w:p>
            <w:pPr>
              <w:pStyle w:val="903"/>
              <w:ind w:firstLine="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股东权益</w:t>
            </w:r>
            <w:r/>
          </w:p>
        </w:tc>
        <w:tc>
          <w:tcPr>
            <w:tcW w:w="1773" w:type="dxa"/>
            <w:vAlign w:val="center"/>
            <w:textDirection w:val="lrTb"/>
            <w:noWrap w:val="false"/>
          </w:tcPr>
          <w:p>
            <w:pPr>
              <w:pStyle w:val="903"/>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c>
          <w:tcPr>
            <w:tcW w:w="1959" w:type="dxa"/>
            <w:vAlign w:val="center"/>
            <w:textDirection w:val="lrTb"/>
            <w:noWrap w:val="false"/>
          </w:tcPr>
          <w:p>
            <w:pPr>
              <w:pStyle w:val="903"/>
              <w:ind w:firstLine="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销售收入</w:t>
            </w:r>
            <w:r/>
          </w:p>
        </w:tc>
        <w:tc>
          <w:tcPr>
            <w:tcW w:w="3175" w:type="dxa"/>
            <w:vAlign w:val="center"/>
            <w:textDirection w:val="lrTb"/>
            <w:noWrap w:val="false"/>
          </w:tcPr>
          <w:p>
            <w:pPr>
              <w:pStyle w:val="903"/>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年       万元</w:t>
            </w:r>
            <w:r/>
          </w:p>
        </w:tc>
      </w:tr>
      <w:tr>
        <w:trPr>
          <w:cantSplit/>
          <w:jc w:val="center"/>
          <w:trHeight w:val="567"/>
        </w:trPr>
        <w:tc>
          <w:tcPr>
            <w:tcW w:w="2381" w:type="dxa"/>
            <w:vAlign w:val="center"/>
            <w:textDirection w:val="lrTb"/>
            <w:noWrap w:val="false"/>
          </w:tcPr>
          <w:p>
            <w:pPr>
              <w:pStyle w:val="90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实现利润</w:t>
            </w:r>
            <w:r/>
          </w:p>
        </w:tc>
        <w:tc>
          <w:tcPr>
            <w:tcW w:w="1773" w:type="dxa"/>
            <w:vAlign w:val="center"/>
            <w:textDirection w:val="lrTb"/>
            <w:noWrap w:val="false"/>
          </w:tcPr>
          <w:p>
            <w:pPr>
              <w:pStyle w:val="90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年  万元</w:t>
            </w:r>
            <w:r/>
          </w:p>
        </w:tc>
        <w:tc>
          <w:tcPr>
            <w:tcW w:w="1959" w:type="dxa"/>
            <w:vAlign w:val="center"/>
            <w:textDirection w:val="lrTb"/>
            <w:noWrap w:val="false"/>
          </w:tcPr>
          <w:p>
            <w:pPr>
              <w:pStyle w:val="903"/>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3175" w:type="dxa"/>
            <w:vAlign w:val="center"/>
            <w:textDirection w:val="lrTb"/>
            <w:noWrap w:val="false"/>
          </w:tcPr>
          <w:p>
            <w:pPr>
              <w:pStyle w:val="903"/>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567"/>
        </w:trPr>
        <w:tc>
          <w:tcPr>
            <w:tcW w:w="2381" w:type="dxa"/>
            <w:vAlign w:val="center"/>
            <w:textDirection w:val="lrTb"/>
            <w:noWrap w:val="false"/>
          </w:tcPr>
          <w:p>
            <w:pPr>
              <w:pStyle w:val="90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营业面积（含厂房面积）</w:t>
            </w:r>
            <w:r/>
          </w:p>
        </w:tc>
        <w:tc>
          <w:tcPr>
            <w:tcW w:w="1773" w:type="dxa"/>
            <w:vAlign w:val="center"/>
            <w:textDirection w:val="lrTb"/>
            <w:noWrap w:val="false"/>
          </w:tcPr>
          <w:p>
            <w:pPr>
              <w:pStyle w:val="903"/>
              <w:ind w:firstLine="21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平方米</w:t>
            </w:r>
            <w:r/>
          </w:p>
        </w:tc>
        <w:tc>
          <w:tcPr>
            <w:tcW w:w="1959" w:type="dxa"/>
            <w:vAlign w:val="center"/>
            <w:textDirection w:val="lrTb"/>
            <w:noWrap w:val="false"/>
          </w:tcPr>
          <w:p>
            <w:pPr>
              <w:pStyle w:val="90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tc>
        <w:tc>
          <w:tcPr>
            <w:tcW w:w="3175" w:type="dxa"/>
            <w:vAlign w:val="center"/>
            <w:textDirection w:val="lrTb"/>
            <w:noWrap w:val="false"/>
          </w:tcPr>
          <w:p>
            <w:pPr>
              <w:pStyle w:val="90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自有面积      平方米</w:t>
            </w:r>
            <w:r/>
          </w:p>
          <w:p>
            <w:pPr>
              <w:pStyle w:val="90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承租面积      平方米</w:t>
            </w:r>
            <w:r/>
          </w:p>
        </w:tc>
      </w:tr>
      <w:tr>
        <w:trPr>
          <w:cantSplit/>
          <w:jc w:val="center"/>
          <w:trHeight w:val="800"/>
        </w:trPr>
        <w:tc>
          <w:tcPr>
            <w:tcW w:w="2381" w:type="dxa"/>
            <w:vAlign w:val="center"/>
            <w:textDirection w:val="lrTb"/>
            <w:noWrap w:val="false"/>
          </w:tcPr>
          <w:p>
            <w:pPr>
              <w:pStyle w:val="90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单位简历及内设机构情况</w:t>
            </w:r>
            <w:r/>
          </w:p>
        </w:tc>
        <w:tc>
          <w:tcPr>
            <w:gridSpan w:val="3"/>
            <w:tcW w:w="6907" w:type="dxa"/>
            <w:vAlign w:val="center"/>
            <w:textDirection w:val="lrTb"/>
            <w:noWrap w:val="false"/>
          </w:tcPr>
          <w:p>
            <w:pPr>
              <w:pStyle w:val="903"/>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640"/>
        </w:trPr>
        <w:tc>
          <w:tcPr>
            <w:tcW w:w="2381" w:type="dxa"/>
            <w:vAlign w:val="center"/>
            <w:textDirection w:val="lrTb"/>
            <w:noWrap w:val="false"/>
          </w:tcPr>
          <w:p>
            <w:pPr>
              <w:pStyle w:val="90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单位优势及特长</w:t>
            </w:r>
            <w:r/>
          </w:p>
        </w:tc>
        <w:tc>
          <w:tcPr>
            <w:gridSpan w:val="3"/>
            <w:tcW w:w="6907" w:type="dxa"/>
            <w:vAlign w:val="center"/>
            <w:textDirection w:val="lrTb"/>
            <w:noWrap w:val="false"/>
          </w:tcPr>
          <w:p>
            <w:pPr>
              <w:pStyle w:val="903"/>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850"/>
        </w:trPr>
        <w:tc>
          <w:tcPr>
            <w:tcW w:w="2381" w:type="dxa"/>
            <w:vAlign w:val="center"/>
            <w:textDirection w:val="lrTb"/>
            <w:noWrap w:val="false"/>
          </w:tcPr>
          <w:p>
            <w:pPr>
              <w:pStyle w:val="90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近三年来完成或正在履行的重大合同情况</w:t>
            </w:r>
            <w:r/>
          </w:p>
        </w:tc>
        <w:tc>
          <w:tcPr>
            <w:gridSpan w:val="3"/>
            <w:tcW w:w="6907" w:type="dxa"/>
            <w:vAlign w:val="center"/>
            <w:textDirection w:val="lrTb"/>
            <w:noWrap w:val="false"/>
          </w:tcPr>
          <w:p>
            <w:pPr>
              <w:pStyle w:val="903"/>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850"/>
        </w:trPr>
        <w:tc>
          <w:tcPr>
            <w:tcW w:w="2381" w:type="dxa"/>
            <w:vAlign w:val="center"/>
            <w:textDirection w:val="lrTb"/>
            <w:noWrap w:val="false"/>
          </w:tcPr>
          <w:p>
            <w:pPr>
              <w:pStyle w:val="90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最近2年内在经营过程中受到何种奖励或处分</w:t>
            </w:r>
            <w:r/>
          </w:p>
        </w:tc>
        <w:tc>
          <w:tcPr>
            <w:gridSpan w:val="3"/>
            <w:tcW w:w="6907" w:type="dxa"/>
            <w:vAlign w:val="center"/>
            <w:textDirection w:val="lrTb"/>
            <w:noWrap w:val="false"/>
          </w:tcPr>
          <w:p>
            <w:pPr>
              <w:pStyle w:val="90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（包括财政、工商、税务、物价、技监部门稽查情况和结果）</w:t>
            </w:r>
            <w:r/>
          </w:p>
        </w:tc>
      </w:tr>
      <w:tr>
        <w:trPr>
          <w:cantSplit/>
          <w:jc w:val="center"/>
          <w:trHeight w:val="850"/>
        </w:trPr>
        <w:tc>
          <w:tcPr>
            <w:tcW w:w="2381" w:type="dxa"/>
            <w:vAlign w:val="center"/>
            <w:textDirection w:val="lrTb"/>
            <w:noWrap w:val="false"/>
          </w:tcPr>
          <w:p>
            <w:pPr>
              <w:pStyle w:val="90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最近3年内有无因售假、售劣或是其他原因被消费者投诉或起诉的情况及说明</w:t>
            </w:r>
            <w:r/>
          </w:p>
        </w:tc>
        <w:tc>
          <w:tcPr>
            <w:gridSpan w:val="3"/>
            <w:tcW w:w="6907" w:type="dxa"/>
            <w:vAlign w:val="center"/>
            <w:textDirection w:val="lrTb"/>
            <w:noWrap w:val="false"/>
          </w:tcPr>
          <w:p>
            <w:pPr>
              <w:pStyle w:val="90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（包括解决方式和结果）</w:t>
            </w:r>
            <w:r/>
          </w:p>
        </w:tc>
      </w:tr>
      <w:tr>
        <w:trPr>
          <w:cantSplit/>
          <w:jc w:val="center"/>
          <w:trHeight w:val="850"/>
        </w:trPr>
        <w:tc>
          <w:tcPr>
            <w:tcW w:w="2381" w:type="dxa"/>
            <w:vAlign w:val="center"/>
            <w:textDirection w:val="lrTb"/>
            <w:noWrap w:val="false"/>
          </w:tcPr>
          <w:p>
            <w:pPr>
              <w:pStyle w:val="90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参加政府采购活动前三年内，在经营活动中有无重大违法记录情况及说明</w:t>
            </w:r>
            <w:r/>
          </w:p>
        </w:tc>
        <w:tc>
          <w:tcPr>
            <w:gridSpan w:val="3"/>
            <w:tcW w:w="6907" w:type="dxa"/>
            <w:vAlign w:val="center"/>
            <w:textDirection w:val="lrTb"/>
            <w:noWrap w:val="false"/>
          </w:tcPr>
          <w:p>
            <w:pPr>
              <w:pStyle w:val="903"/>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850"/>
        </w:trPr>
        <w:tc>
          <w:tcPr>
            <w:tcW w:w="2381" w:type="dxa"/>
            <w:vAlign w:val="center"/>
            <w:textDirection w:val="lrTb"/>
            <w:noWrap w:val="false"/>
          </w:tcPr>
          <w:p>
            <w:pPr>
              <w:pStyle w:val="90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其他需要说明的情况</w:t>
            </w:r>
            <w:r/>
          </w:p>
        </w:tc>
        <w:tc>
          <w:tcPr>
            <w:gridSpan w:val="3"/>
            <w:tcW w:w="6907" w:type="dxa"/>
            <w:vAlign w:val="center"/>
            <w:textDirection w:val="lrTb"/>
            <w:noWrap w:val="false"/>
          </w:tcPr>
          <w:p>
            <w:pPr>
              <w:pStyle w:val="903"/>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spacing w:line="360" w:lineRule="auto"/>
        <w:rPr>
          <w:rFonts w:hint="eastAsia" w:ascii="宋体" w:hAnsi="宋体" w:eastAsia="宋体" w:cs="宋体"/>
          <w:b/>
          <w:color w:val="auto"/>
          <w:highlight w:val="none"/>
          <w:lang w:eastAsia="zh-CN"/>
        </w:rPr>
      </w:pPr>
      <w:r>
        <w:rPr>
          <w:rFonts w:hint="eastAsia" w:ascii="宋体" w:hAnsi="宋体" w:cs="宋体"/>
          <w:b/>
          <w:color w:val="auto"/>
          <w:highlight w:val="none"/>
        </w:rPr>
        <w:t xml:space="preserve">附件10：针对本项目的人员配置</w:t>
      </w:r>
      <w:r>
        <w:rPr>
          <w:rFonts w:hint="eastAsia" w:ascii="宋体" w:hAnsi="宋体" w:cs="宋体"/>
          <w:b/>
          <w:color w:val="auto"/>
          <w:highlight w:val="none"/>
          <w:lang w:val="en-US" w:eastAsia="zh-CN"/>
        </w:rPr>
        <w:t xml:space="preserve">情况</w:t>
      </w:r>
      <w:r/>
    </w:p>
    <w:p>
      <w:pPr>
        <w:ind w:firstLine="422"/>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针对本项目的人员配置表</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采购编号：</w:t>
      </w:r>
      <w:r/>
    </w:p>
    <w:tbl>
      <w:tblPr>
        <w:tblStyle w:val="72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911"/>
        <w:gridCol w:w="959"/>
        <w:gridCol w:w="836"/>
        <w:gridCol w:w="771"/>
        <w:gridCol w:w="957"/>
        <w:gridCol w:w="1468"/>
        <w:gridCol w:w="834"/>
        <w:gridCol w:w="1111"/>
        <w:gridCol w:w="668"/>
      </w:tblGrid>
      <w:tr>
        <w:trPr>
          <w:cantSplit/>
          <w:jc w:val="center"/>
          <w:trHeight w:val="256"/>
        </w:trPr>
        <w:tc>
          <w:tcPr>
            <w:tcW w:w="773" w:type="dxa"/>
            <w:vAlign w:val="center"/>
            <w:vMerge w:val="restart"/>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911" w:type="dxa"/>
            <w:vAlign w:val="center"/>
            <w:vMerge w:val="restart"/>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岗位</w:t>
            </w:r>
            <w:r/>
          </w:p>
        </w:tc>
        <w:tc>
          <w:tcPr>
            <w:tcW w:w="959" w:type="dxa"/>
            <w:vAlign w:val="center"/>
            <w:vMerge w:val="restart"/>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姓名</w:t>
            </w:r>
            <w:r/>
          </w:p>
        </w:tc>
        <w:tc>
          <w:tcPr>
            <w:tcW w:w="836" w:type="dxa"/>
            <w:vAlign w:val="center"/>
            <w:vMerge w:val="restart"/>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性别</w:t>
            </w:r>
            <w:r/>
          </w:p>
        </w:tc>
        <w:tc>
          <w:tcPr>
            <w:tcW w:w="771" w:type="dxa"/>
            <w:vAlign w:val="center"/>
            <w:vMerge w:val="restart"/>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年龄</w:t>
            </w:r>
            <w:r/>
          </w:p>
        </w:tc>
        <w:tc>
          <w:tcPr>
            <w:tcW w:w="957" w:type="dxa"/>
            <w:vAlign w:val="center"/>
            <w:vMerge w:val="restart"/>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学历、所学专业</w:t>
            </w:r>
            <w:r/>
          </w:p>
        </w:tc>
        <w:tc>
          <w:tcPr>
            <w:tcW w:w="1468" w:type="dxa"/>
            <w:vAlign w:val="center"/>
            <w:vMerge w:val="restart"/>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职称、注册</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资格</w:t>
            </w:r>
            <w:r/>
          </w:p>
        </w:tc>
        <w:tc>
          <w:tcPr>
            <w:gridSpan w:val="2"/>
            <w:tcW w:w="194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从事工作</w:t>
            </w:r>
            <w:r/>
          </w:p>
        </w:tc>
        <w:tc>
          <w:tcPr>
            <w:tcW w:w="668" w:type="dxa"/>
            <w:vAlign w:val="center"/>
            <w:vMerge w:val="restart"/>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cantSplit/>
          <w:jc w:val="center"/>
          <w:trHeight w:val="130"/>
        </w:trPr>
        <w:tc>
          <w:tcPr>
            <w:tcW w:w="773" w:type="dxa"/>
            <w:vAlign w:val="center"/>
            <w:vMerge w:val="continue"/>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11" w:type="dxa"/>
            <w:vAlign w:val="center"/>
            <w:vMerge w:val="continue"/>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59" w:type="dxa"/>
            <w:vAlign w:val="center"/>
            <w:vMerge w:val="continue"/>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36" w:type="dxa"/>
            <w:vAlign w:val="center"/>
            <w:vMerge w:val="continue"/>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71" w:type="dxa"/>
            <w:vAlign w:val="center"/>
            <w:vMerge w:val="continue"/>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57" w:type="dxa"/>
            <w:vAlign w:val="center"/>
            <w:vMerge w:val="continue"/>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8" w:type="dxa"/>
            <w:vAlign w:val="center"/>
            <w:vMerge w:val="continue"/>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3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年限</w:t>
            </w:r>
            <w:r/>
          </w:p>
        </w:tc>
        <w:tc>
          <w:tcPr>
            <w:tcW w:w="111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工作领域</w:t>
            </w:r>
            <w:r/>
          </w:p>
        </w:tc>
        <w:tc>
          <w:tcPr>
            <w:tcW w:w="668" w:type="dxa"/>
            <w:vAlign w:val="center"/>
            <w:vMerge w:val="continue"/>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77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1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5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3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7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3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1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6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77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1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5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3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7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3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1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6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77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1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5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3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7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3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1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6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77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1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5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3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7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3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1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6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77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1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5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3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7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3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1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6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77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1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5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3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7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3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1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6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77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1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5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3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7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3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1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6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77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1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5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3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7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3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1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6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77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1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5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3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7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3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1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6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77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1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5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3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7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3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1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6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磋商响应单位（签章）：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w:t>
      </w:r>
      <w:r/>
    </w:p>
    <w:p>
      <w:pPr>
        <w:ind w:left="735" w:hanging="735"/>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highlight w:val="none"/>
        </w:rPr>
      </w:pPr>
      <w:r>
        <w:rPr>
          <w:rFonts w:hint="eastAsia" w:ascii="宋体" w:hAnsi="宋体" w:cs="宋体"/>
          <w:color w:val="auto"/>
          <w:szCs w:val="21"/>
          <w:highlight w:val="none"/>
        </w:rPr>
        <w:t xml:space="preserve">注：1</w:t>
      </w:r>
      <w:r>
        <w:rPr>
          <w:rFonts w:hint="eastAsia" w:ascii="宋体" w:hAnsi="宋体" w:cs="宋体"/>
          <w:color w:val="auto"/>
          <w:highlight w:val="none"/>
        </w:rPr>
        <w:t xml:space="preserve">、“项目组人员”指磋商响应单位针对该项目所配备的主要团队人员。人员一经确认，未经采购单位事先书面同意，不能更换，如有更换，新的人员资历经验等不得低于被替换的人员，且须经采购单位事先书面同意。但人员的能力不能满足任务的要求，采购单位有权要求更换，成交单位必须及时更换。</w:t>
      </w:r>
      <w:r/>
    </w:p>
    <w:p>
      <w:pPr>
        <w:ind w:left="735" w:hanging="315"/>
        <w:spacing w:line="360" w:lineRule="auto"/>
        <w:rPr>
          <w:rFonts w:ascii="宋体" w:hAnsi="宋体" w:cs="宋体"/>
          <w:color w:val="auto"/>
          <w:highlight w:val="none"/>
        </w:rPr>
      </w:pPr>
      <w:r>
        <w:rPr>
          <w:rFonts w:hint="eastAsia" w:ascii="宋体" w:hAnsi="宋体" w:cs="宋体"/>
          <w:color w:val="auto"/>
          <w:highlight w:val="none"/>
        </w:rPr>
        <w:t xml:space="preserve">2、响应单位可参照上述格式自行设计表格投标。</w:t>
      </w:r>
      <w:r/>
    </w:p>
    <w:p>
      <w:pPr>
        <w:spacing w:line="360" w:lineRule="auto"/>
        <w:rPr>
          <w:rFonts w:ascii="宋体" w:hAnsi="宋体" w:cs="宋体"/>
          <w:b/>
          <w:color w:val="auto"/>
          <w:highlight w:val="none"/>
        </w:rPr>
      </w:pPr>
      <w:r>
        <w:rPr>
          <w:rFonts w:hint="eastAsia" w:ascii="宋体" w:hAnsi="宋体" w:cs="宋体"/>
          <w:b/>
          <w:bCs/>
          <w:color w:val="auto"/>
          <w:szCs w:val="21"/>
          <w:highlight w:val="none"/>
          <w:lang w:val="zh-CN"/>
        </w:rPr>
        <w:br w:type="page" w:clear="all"/>
      </w:r>
      <w:r>
        <w:rPr>
          <w:rFonts w:hint="eastAsia" w:ascii="宋体" w:hAnsi="宋体" w:cs="宋体"/>
          <w:b/>
          <w:color w:val="auto"/>
          <w:highlight w:val="none"/>
        </w:rPr>
        <w:t xml:space="preserve">附件11：类似项目</w:t>
      </w:r>
      <w:r>
        <w:rPr>
          <w:rFonts w:hint="eastAsia" w:ascii="宋体" w:hAnsi="宋体" w:cs="宋体"/>
          <w:b/>
          <w:color w:val="auto"/>
          <w:highlight w:val="none"/>
          <w:lang w:val="zh-CN"/>
        </w:rPr>
        <w:t xml:space="preserve">业绩一览表</w:t>
      </w:r>
      <w:r/>
    </w:p>
    <w:p>
      <w:pPr>
        <w:ind w:firstLine="422"/>
        <w:jc w:val="center"/>
        <w:spacing w:line="360" w:lineRule="auto"/>
        <w:rPr>
          <w:rFonts w:ascii="宋体" w:hAnsi="宋体" w:cs="宋体"/>
          <w:color w:val="auto"/>
          <w:highlight w:val="none"/>
        </w:rPr>
      </w:pPr>
      <w:r>
        <w:rPr>
          <w:rFonts w:hint="eastAsia" w:ascii="宋体" w:hAnsi="宋体" w:cs="宋体"/>
          <w:b/>
          <w:color w:val="auto"/>
          <w:highlight w:val="none"/>
        </w:rPr>
        <w:t xml:space="preserve">类似项目</w:t>
      </w:r>
      <w:r>
        <w:rPr>
          <w:rFonts w:hint="eastAsia" w:ascii="宋体" w:hAnsi="宋体" w:cs="宋体"/>
          <w:b/>
          <w:color w:val="auto"/>
          <w:highlight w:val="none"/>
          <w:lang w:val="zh-CN"/>
        </w:rPr>
        <w:t xml:space="preserve">业绩一览表</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采购编号：</w:t>
      </w:r>
      <w:r/>
    </w:p>
    <w:tbl>
      <w:tblPr>
        <w:tblStyle w:val="720"/>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14"/>
        <w:gridCol w:w="1964"/>
        <w:gridCol w:w="1422"/>
        <w:gridCol w:w="1518"/>
        <w:gridCol w:w="1796"/>
        <w:gridCol w:w="1614"/>
      </w:tblGrid>
      <w:tr>
        <w:trPr>
          <w:cantSplit/>
          <w:jc w:val="center"/>
          <w:trHeight w:val="680"/>
        </w:trPr>
        <w:tc>
          <w:tcPr>
            <w:tcW w:w="81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96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142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业主单位</w:t>
            </w:r>
            <w:r/>
          </w:p>
        </w:tc>
        <w:tc>
          <w:tcPr>
            <w:tcBorders>
              <w:right w:val="single" w:color="000000" w:sz="4" w:space="0"/>
            </w:tcBorders>
            <w:tcW w:w="151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合同签订日期</w:t>
            </w:r>
            <w:r/>
          </w:p>
        </w:tc>
        <w:tc>
          <w:tcPr>
            <w:tcBorders>
              <w:left w:val="single" w:color="000000" w:sz="4" w:space="0"/>
              <w:right w:val="single" w:color="000000" w:sz="4" w:space="0"/>
            </w:tcBorders>
            <w:tcW w:w="179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项目服务内容</w:t>
            </w:r>
            <w:r/>
          </w:p>
        </w:tc>
        <w:tc>
          <w:tcPr>
            <w:tcW w:w="161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合同金额（万元）</w:t>
            </w:r>
            <w:r/>
          </w:p>
        </w:tc>
      </w:tr>
      <w:tr>
        <w:trPr>
          <w:cantSplit/>
          <w:jc w:val="center"/>
          <w:trHeight w:val="680"/>
        </w:trPr>
        <w:tc>
          <w:tcPr>
            <w:tcW w:w="81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964"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22"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000000" w:sz="4" w:space="0"/>
            </w:tcBorders>
            <w:tcW w:w="151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000000" w:sz="4" w:space="0"/>
              <w:right w:val="single" w:color="000000" w:sz="4" w:space="0"/>
            </w:tcBorders>
            <w:tcW w:w="1796"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614"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80"/>
        </w:trPr>
        <w:tc>
          <w:tcPr>
            <w:tcW w:w="81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964"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22"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000000" w:sz="4" w:space="0"/>
            </w:tcBorders>
            <w:tcW w:w="151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000000" w:sz="4" w:space="0"/>
              <w:right w:val="single" w:color="000000" w:sz="4" w:space="0"/>
            </w:tcBorders>
            <w:tcW w:w="1796"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614"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80"/>
        </w:trPr>
        <w:tc>
          <w:tcPr>
            <w:tcW w:w="81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964"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22"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000000" w:sz="4" w:space="0"/>
            </w:tcBorders>
            <w:tcW w:w="151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000000" w:sz="4" w:space="0"/>
              <w:right w:val="single" w:color="000000" w:sz="4" w:space="0"/>
            </w:tcBorders>
            <w:tcW w:w="1796"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614"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80"/>
        </w:trPr>
        <w:tc>
          <w:tcPr>
            <w:tcW w:w="81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964"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22"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000000" w:sz="4" w:space="0"/>
            </w:tcBorders>
            <w:tcW w:w="151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000000" w:sz="4" w:space="0"/>
              <w:right w:val="single" w:color="000000" w:sz="4" w:space="0"/>
            </w:tcBorders>
            <w:tcW w:w="1796"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614"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80"/>
        </w:trPr>
        <w:tc>
          <w:tcPr>
            <w:tcW w:w="81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964"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22"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000000" w:sz="4" w:space="0"/>
            </w:tcBorders>
            <w:tcW w:w="151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000000" w:sz="4" w:space="0"/>
              <w:right w:val="single" w:color="000000" w:sz="4" w:space="0"/>
            </w:tcBorders>
            <w:tcW w:w="1796"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614"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80"/>
        </w:trPr>
        <w:tc>
          <w:tcPr>
            <w:tcW w:w="81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1964"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22"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000000" w:sz="4" w:space="0"/>
            </w:tcBorders>
            <w:tcW w:w="151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000000" w:sz="4" w:space="0"/>
              <w:right w:val="single" w:color="000000" w:sz="4" w:space="0"/>
            </w:tcBorders>
            <w:tcW w:w="1796"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614"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80"/>
        </w:trPr>
        <w:tc>
          <w:tcPr>
            <w:tcW w:w="81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196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22"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000000" w:sz="4" w:space="0"/>
            </w:tcBorders>
            <w:tcW w:w="151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000000" w:sz="4" w:space="0"/>
              <w:right w:val="single" w:color="000000" w:sz="4" w:space="0"/>
            </w:tcBorders>
            <w:tcW w:w="1796"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1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80"/>
        </w:trPr>
        <w:tc>
          <w:tcPr>
            <w:tcW w:w="81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96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22"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000000" w:sz="4" w:space="0"/>
            </w:tcBorders>
            <w:tcW w:w="151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000000" w:sz="4" w:space="0"/>
              <w:right w:val="single" w:color="000000" w:sz="4" w:space="0"/>
            </w:tcBorders>
            <w:tcW w:w="1796"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1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bl>
    <w:p>
      <w:pPr>
        <w:pStyle w:val="986"/>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磋商响应单位（签章）：</w:t>
      </w:r>
      <w:r/>
    </w:p>
    <w:p>
      <w:pPr>
        <w:pStyle w:val="986"/>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日期：</w:t>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pageBreakBefore/>
        <w:spacing w:line="360" w:lineRule="auto"/>
        <w:rPr>
          <w:rFonts w:ascii="宋体" w:hAnsi="宋体" w:cs="宋体"/>
          <w:color w:val="auto"/>
          <w:szCs w:val="21"/>
          <w:highlight w:val="none"/>
        </w:rPr>
        <w:outlineLvl w:val="1"/>
      </w:pPr>
      <w:r>
        <w:rPr>
          <w:rFonts w:hint="eastAsia" w:ascii="宋体" w:hAnsi="宋体" w:cs="宋体"/>
          <w:b/>
          <w:color w:val="auto"/>
          <w:szCs w:val="21"/>
          <w:highlight w:val="none"/>
        </w:rPr>
        <w:t xml:space="preserve">附件12：中小企业声明函（参考格式）</w:t>
      </w:r>
      <w:r/>
    </w:p>
    <w:p>
      <w:pPr>
        <w:jc w:val="cente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color w:val="auto"/>
          <w:highlight w:val="none"/>
        </w:rPr>
      </w:pPr>
      <w:r>
        <w:rPr>
          <w:rFonts w:hint="eastAsia" w:ascii="宋体" w:hAnsi="宋体" w:cs="宋体"/>
          <w:color w:val="auto"/>
          <w:highlight w:val="none"/>
        </w:rPr>
        <w:t xml:space="preserve">中小企业声明函（服务）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本公司（或联合体）郑重声明，根据《政府采购促进中小企业发展管理办法》（财库﹝2020﹞46 号）的规定，本公司 （或联合体）参加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采购活动，服务全部由符合政策要求的中小企业承接。相关企业（含联合体中的中小企业、签订分包意向协议的中小企业）的具体情况如下：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（其他未列明行业）</w:t>
      </w:r>
      <w:r>
        <w:rPr>
          <w:rFonts w:hint="eastAsia" w:ascii="宋体" w:hAnsi="宋体" w:cs="宋体"/>
          <w:color w:val="auto"/>
          <w:highlight w:val="none"/>
        </w:rPr>
        <w:t xml:space="preserve">； 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，从业人员人，营业收入为万元，资产总额为万元</w:t>
      </w:r>
      <w:r>
        <w:rPr>
          <w:rFonts w:hint="eastAsia" w:ascii="宋体" w:hAnsi="宋体" w:cs="宋体"/>
          <w:color w:val="auto"/>
          <w:highlight w:val="none"/>
          <w:vertAlign w:val="superscript"/>
        </w:rPr>
        <w:t xml:space="preserve">1</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 小型企业、微型企业）</w:t>
      </w:r>
      <w:r>
        <w:rPr>
          <w:rFonts w:hint="eastAsia" w:ascii="宋体" w:hAnsi="宋体" w:cs="宋体"/>
          <w:color w:val="auto"/>
          <w:highlight w:val="non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（其他未列明行业）</w:t>
      </w:r>
      <w:r>
        <w:rPr>
          <w:rFonts w:hint="eastAsia" w:ascii="宋体" w:hAnsi="宋体" w:cs="宋体"/>
          <w:color w:val="auto"/>
          <w:highlight w:val="none"/>
        </w:rPr>
        <w:t xml:space="preserve">； 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，从业人员人，营业收入为万元，资产总额为万元</w:t>
      </w:r>
      <w:r>
        <w:rPr>
          <w:rFonts w:hint="eastAsia" w:ascii="宋体" w:hAnsi="宋体" w:cs="宋体"/>
          <w:color w:val="auto"/>
          <w:highlight w:val="none"/>
          <w:vertAlign w:val="superscript"/>
        </w:rPr>
        <w:t xml:space="preserve">1</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 小型企业、微型企业）</w:t>
      </w: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 ……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left="4200"/>
        <w:spacing w:line="360" w:lineRule="auto"/>
        <w:rPr>
          <w:rFonts w:ascii="宋体" w:hAnsi="宋体" w:cs="宋体"/>
          <w:color w:val="auto"/>
          <w:highlight w:val="none"/>
        </w:rPr>
      </w:pPr>
      <w:r>
        <w:rPr>
          <w:rFonts w:ascii="宋体" w:hAnsi="宋体" w:cs="宋体"/>
          <w:color w:val="auto"/>
          <w:highlight w:val="none"/>
        </w:rPr>
      </w:r>
      <w:r/>
    </w:p>
    <w:p>
      <w:pPr>
        <w:ind w:left="4200"/>
        <w:spacing w:line="360" w:lineRule="auto"/>
        <w:rPr>
          <w:rFonts w:ascii="宋体" w:hAnsi="宋体" w:cs="宋体"/>
          <w:color w:val="auto"/>
          <w:highlight w:val="none"/>
        </w:rPr>
      </w:pPr>
      <w:r>
        <w:rPr>
          <w:rFonts w:hint="eastAsia" w:ascii="宋体" w:hAnsi="宋体" w:cs="宋体"/>
          <w:color w:val="auto"/>
          <w:highlight w:val="none"/>
        </w:rPr>
        <w:t xml:space="preserve">企业名称（签章）：</w:t>
      </w:r>
      <w:r/>
    </w:p>
    <w:p>
      <w:pPr>
        <w:ind w:left="4200"/>
        <w:spacing w:line="360" w:lineRule="auto"/>
        <w:rPr>
          <w:rFonts w:ascii="宋体" w:hAnsi="宋体" w:cs="宋体"/>
          <w:color w:val="auto"/>
          <w:sz w:val="32"/>
          <w:szCs w:val="32"/>
          <w:highlight w:val="none"/>
          <w:lang w:val="zh-CN"/>
        </w:rPr>
      </w:pPr>
      <w:r>
        <w:rPr>
          <w:rFonts w:hint="eastAsia" w:ascii="宋体" w:hAnsi="宋体" w:cs="宋体"/>
          <w:color w:val="auto"/>
          <w:highlight w:val="none"/>
        </w:rPr>
        <w:t xml:space="preserve">日 期：</w:t>
      </w:r>
      <w:r/>
    </w:p>
    <w:p>
      <w:pPr>
        <w:jc w:val="left"/>
        <w:spacing w:line="360" w:lineRule="auto"/>
        <w:rPr>
          <w:rFonts w:ascii="宋体" w:hAnsi="宋体" w:cs="宋体"/>
          <w:color w:val="auto"/>
          <w:highlight w:val="none"/>
        </w:rPr>
      </w:pPr>
      <w:r>
        <w:rPr>
          <w:rFonts w:ascii="宋体" w:hAnsi="宋体" w:cs="宋体"/>
          <w:color w:val="auto"/>
          <w:highlight w:val="none"/>
        </w:rPr>
      </w:r>
      <w:r/>
    </w:p>
    <w:p>
      <w:pPr>
        <w:pStyle w:val="923"/>
        <w:ind w:firstLine="420"/>
        <w:rPr>
          <w:rFonts w:ascii="宋体" w:hAnsi="宋体" w:cs="宋体"/>
          <w:color w:val="auto"/>
          <w:sz w:val="21"/>
          <w:szCs w:val="24"/>
          <w:highlight w:val="none"/>
          <w:lang w:eastAsia="zh-CN"/>
        </w:rPr>
      </w:pPr>
      <w:r>
        <w:rPr>
          <w:rFonts w:hint="eastAsia" w:ascii="宋体" w:hAnsi="宋体" w:cs="宋体"/>
          <w:color w:val="auto"/>
          <w:sz w:val="21"/>
          <w:szCs w:val="24"/>
          <w:highlight w:val="none"/>
          <w:lang w:eastAsia="zh-CN"/>
        </w:rPr>
        <w:t xml:space="preserve">备注：1.从业人员、营业收入、资产总额填报上一年度数据，无上一年度数据的新成立企业可不填报。</w:t>
      </w:r>
      <w:r/>
    </w:p>
    <w:p>
      <w:pPr>
        <w:pStyle w:val="923"/>
        <w:ind w:firstLine="630"/>
        <w:rPr>
          <w:rFonts w:ascii="宋体" w:hAnsi="宋体" w:cs="宋体"/>
          <w:color w:val="auto"/>
          <w:sz w:val="21"/>
          <w:szCs w:val="24"/>
          <w:highlight w:val="none"/>
          <w:lang w:eastAsia="zh-CN"/>
        </w:rPr>
      </w:pPr>
      <w:r>
        <w:rPr>
          <w:rFonts w:hint="eastAsia" w:ascii="宋体" w:hAnsi="宋体" w:cs="宋体"/>
          <w:color w:val="auto"/>
          <w:sz w:val="21"/>
          <w:szCs w:val="24"/>
          <w:highlight w:val="none"/>
          <w:lang w:eastAsia="zh-CN"/>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pStyle w:val="923"/>
        <w:ind w:firstLine="630"/>
        <w:rPr>
          <w:rFonts w:ascii="宋体" w:hAnsi="宋体" w:cs="宋体"/>
          <w:color w:val="auto"/>
          <w:sz w:val="21"/>
          <w:szCs w:val="24"/>
          <w:highlight w:val="none"/>
          <w:lang w:eastAsia="zh-CN"/>
        </w:rPr>
      </w:pPr>
      <w:r>
        <w:rPr>
          <w:rFonts w:hint="eastAsia" w:ascii="宋体" w:hAnsi="宋体" w:cs="宋体"/>
          <w:color w:val="auto"/>
          <w:sz w:val="21"/>
          <w:szCs w:val="24"/>
          <w:highlight w:val="none"/>
          <w:lang w:eastAsia="zh-CN"/>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p>
    <w:p>
      <w:pPr>
        <w:pStyle w:val="923"/>
        <w:ind w:firstLine="632"/>
        <w:rPr>
          <w:rFonts w:ascii="宋体" w:hAnsi="宋体" w:cs="宋体"/>
          <w:color w:val="auto"/>
          <w:sz w:val="21"/>
          <w:szCs w:val="24"/>
          <w:highlight w:val="none"/>
          <w:lang w:eastAsia="zh-CN"/>
        </w:rPr>
      </w:pPr>
      <w:r>
        <w:rPr>
          <w:rFonts w:hint="eastAsia" w:ascii="宋体" w:hAnsi="宋体" w:cs="宋体"/>
          <w:color w:val="auto"/>
          <w:sz w:val="21"/>
          <w:szCs w:val="24"/>
          <w:highlight w:val="none"/>
          <w:lang w:eastAsia="zh-CN"/>
        </w:rPr>
        <w:t xml:space="preserve">4.如未对（中型企业、小型企业、微型企业）进行勾选，视同非中小微企业，不可享受相应扶持政策。</w:t>
      </w:r>
      <w:r/>
    </w:p>
    <w:p>
      <w:pPr>
        <w:pStyle w:val="959"/>
        <w:ind w:left="840" w:hanging="210"/>
        <w:spacing w:line="360" w:lineRule="auto"/>
        <w:rPr>
          <w:rFonts w:hAnsi="宋体" w:eastAsia="宋体" w:cs="宋体"/>
          <w:color w:val="auto"/>
          <w:sz w:val="21"/>
          <w:szCs w:val="24"/>
          <w:highlight w:val="none"/>
          <w:lang w:val="zh-CN" w:eastAsia="zh-CN"/>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hAnsi="宋体" w:eastAsia="宋体" w:cs="宋体"/>
          <w:color w:val="auto"/>
          <w:sz w:val="21"/>
          <w:szCs w:val="24"/>
          <w:highlight w:val="none"/>
          <w:lang w:eastAsia="zh-CN"/>
        </w:rPr>
        <w:t xml:space="preserve">5.成交单位为中小企业的，《中小企业声明函》将随成交结果同时公告</w:t>
      </w:r>
      <w:r>
        <w:rPr>
          <w:rFonts w:hint="eastAsia" w:hAnsi="宋体" w:eastAsia="宋体" w:cs="宋体"/>
          <w:color w:val="auto"/>
          <w:sz w:val="21"/>
          <w:szCs w:val="24"/>
          <w:highlight w:val="none"/>
          <w:lang w:val="zh-CN" w:eastAsia="zh-CN"/>
        </w:rPr>
        <w:t xml:space="preserve">。</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附：中小企业划型标准规定（仅供参看，具体按照国家相关最新标准规定）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（一）农、林、牧、渔业。</w:t>
      </w:r>
      <w:r>
        <w:rPr>
          <w:rFonts w:hint="eastAsia" w:ascii="宋体" w:hAnsi="宋体" w:cs="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（二）工业。</w:t>
      </w:r>
      <w:r>
        <w:rPr>
          <w:rFonts w:hint="eastAsia" w:ascii="宋体" w:hAnsi="宋体" w:cs="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（三）建筑业。</w:t>
      </w:r>
      <w:r>
        <w:rPr>
          <w:rFonts w:hint="eastAsia" w:ascii="宋体" w:hAnsi="宋体" w:cs="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（四）批发业。</w:t>
      </w:r>
      <w:r>
        <w:rPr>
          <w:rFonts w:hint="eastAsia" w:ascii="宋体" w:hAnsi="宋体" w:cs="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（五）零售业。</w:t>
      </w:r>
      <w:r>
        <w:rPr>
          <w:rFonts w:hint="eastAsia" w:ascii="宋体" w:hAnsi="宋体" w:cs="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（六）交通运输业。</w:t>
      </w:r>
      <w:r>
        <w:rPr>
          <w:rFonts w:hint="eastAsia" w:ascii="宋体" w:hAnsi="宋体" w:cs="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（七）仓储业。</w:t>
      </w:r>
      <w:r>
        <w:rPr>
          <w:rFonts w:hint="eastAsia" w:ascii="宋体" w:hAnsi="宋体" w:cs="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（八）邮政业。</w:t>
      </w:r>
      <w:r>
        <w:rPr>
          <w:rFonts w:hint="eastAsia" w:ascii="宋体" w:hAnsi="宋体" w:cs="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（九）住宿业。</w:t>
      </w:r>
      <w:r>
        <w:rPr>
          <w:rFonts w:hint="eastAsia" w:ascii="宋体" w:hAnsi="宋体" w:cs="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（十）餐饮业。</w:t>
      </w:r>
      <w:r>
        <w:rPr>
          <w:rFonts w:hint="eastAsia" w:ascii="宋体" w:hAnsi="宋体" w:cs="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（十一）信息传输业。</w:t>
      </w:r>
      <w:r>
        <w:rPr>
          <w:rFonts w:hint="eastAsia" w:ascii="宋体" w:hAnsi="宋体" w:cs="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（十二）软件和信息技术服务业。</w:t>
      </w:r>
      <w:r>
        <w:rPr>
          <w:rFonts w:hint="eastAsia" w:ascii="宋体" w:hAnsi="宋体" w:cs="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（十三）房地产开发经营。</w:t>
      </w:r>
      <w:r>
        <w:rPr>
          <w:rFonts w:hint="eastAsia" w:ascii="宋体" w:hAnsi="宋体" w:cs="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（十四）物业管理。</w:t>
      </w:r>
      <w:r>
        <w:rPr>
          <w:rFonts w:hint="eastAsia" w:ascii="宋体" w:hAnsi="宋体" w:cs="宋体"/>
          <w:color w:val="auto"/>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（十五）租赁和商务服务业。</w:t>
      </w:r>
      <w:r>
        <w:rPr>
          <w:rFonts w:hint="eastAsia" w:ascii="宋体" w:hAnsi="宋体" w:cs="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59"/>
        <w:ind w:firstLine="422"/>
        <w:spacing w:line="360" w:lineRule="auto"/>
        <w:rPr>
          <w:rFonts w:hAnsi="宋体" w:eastAsia="宋体" w:cs="宋体"/>
          <w:color w:val="auto"/>
          <w:szCs w:val="21"/>
          <w:highlight w:val="none"/>
          <w:lang w:eastAsia="zh-CN"/>
        </w:rPr>
      </w:pPr>
      <w:r>
        <w:rPr>
          <w:rFonts w:hint="eastAsia" w:hAnsi="宋体" w:eastAsia="宋体" w:cs="宋体"/>
          <w:b/>
          <w:color w:val="auto"/>
          <w:sz w:val="21"/>
          <w:szCs w:val="24"/>
          <w:highlight w:val="none"/>
          <w:lang w:eastAsia="zh-CN"/>
        </w:rPr>
        <w:t xml:space="preserve">（十六）其他未列明行业。</w:t>
      </w:r>
      <w:r>
        <w:rPr>
          <w:rFonts w:hint="eastAsia" w:hAnsi="宋体" w:eastAsia="宋体" w:cs="宋体"/>
          <w:color w:val="auto"/>
          <w:sz w:val="21"/>
          <w:szCs w:val="24"/>
          <w:highlight w:val="none"/>
          <w:lang w:eastAsia="zh-CN"/>
        </w:rPr>
        <w:t xml:space="preserve">从业人员300人以下的为中小微型企业。其中，从业人员100人及以上的为中型企业；从业人员10人及以上的为小型企业；从业人员10人以下的为微型企业。</w:t>
      </w:r>
      <w:r/>
    </w:p>
    <w:p>
      <w:pPr>
        <w:ind w:firstLine="422"/>
        <w:pageBreakBefore/>
        <w:spacing w:line="360" w:lineRule="auto"/>
        <w:rPr>
          <w:rFonts w:ascii="宋体" w:hAnsi="宋体" w:cs="宋体"/>
          <w:b/>
          <w:color w:val="auto"/>
          <w:szCs w:val="21"/>
          <w:highlight w:val="none"/>
        </w:rPr>
        <w:outlineLvl w:val="1"/>
      </w:pPr>
      <w:r>
        <w:rPr>
          <w:rFonts w:hint="eastAsia" w:ascii="宋体" w:hAnsi="宋体" w:cs="宋体"/>
          <w:b/>
          <w:color w:val="auto"/>
          <w:highlight w:val="none"/>
        </w:rPr>
        <w:t xml:space="preserve">附件13：</w:t>
      </w:r>
      <w:r>
        <w:rPr>
          <w:rFonts w:hint="eastAsia" w:ascii="宋体" w:hAnsi="宋体" w:cs="宋体"/>
          <w:b/>
          <w:color w:val="auto"/>
          <w:szCs w:val="21"/>
          <w:highlight w:val="none"/>
        </w:rPr>
        <w:t xml:space="preserve">残疾人福利性单位声明函</w:t>
      </w:r>
      <w:r/>
    </w:p>
    <w:p>
      <w:pPr>
        <w:ind w:firstLine="422"/>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22"/>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残疾人福利性单位声明函</w:t>
      </w:r>
      <w:r/>
    </w:p>
    <w:p>
      <w:pPr>
        <w:ind w:firstLine="422"/>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left="4200"/>
        <w:spacing w:line="360" w:lineRule="auto"/>
        <w:rPr>
          <w:rFonts w:ascii="宋体" w:hAnsi="宋体" w:cs="宋体"/>
          <w:color w:val="auto"/>
          <w:highlight w:val="none"/>
        </w:rPr>
      </w:pPr>
      <w:r>
        <w:rPr>
          <w:rFonts w:hint="eastAsia" w:ascii="宋体" w:hAnsi="宋体" w:cs="宋体"/>
          <w:color w:val="auto"/>
          <w:highlight w:val="none"/>
        </w:rPr>
        <w:t xml:space="preserve">单位名称（签章）：</w:t>
      </w:r>
      <w:r/>
    </w:p>
    <w:p>
      <w:pPr>
        <w:ind w:left="4200"/>
        <w:spacing w:line="360" w:lineRule="auto"/>
        <w:rPr>
          <w:rFonts w:ascii="宋体" w:hAnsi="宋体" w:cs="宋体"/>
          <w:color w:val="auto"/>
          <w:highlight w:val="none"/>
        </w:rPr>
      </w:pPr>
      <w:r>
        <w:rPr>
          <w:rFonts w:hint="eastAsia" w:ascii="宋体" w:hAnsi="宋体" w:cs="宋体"/>
          <w:color w:val="auto"/>
          <w:highlight w:val="none"/>
        </w:rPr>
        <w:t xml:space="preserve">日  期：</w:t>
      </w:r>
      <w:r/>
    </w:p>
    <w:p>
      <w:pPr>
        <w:ind w:firstLine="315"/>
        <w:spacing w:line="360" w:lineRule="auto"/>
        <w:rPr>
          <w:rFonts w:ascii="宋体" w:hAnsi="宋体" w:cs="宋体"/>
          <w:color w:val="auto"/>
          <w:szCs w:val="21"/>
          <w:highlight w:val="none"/>
        </w:rPr>
      </w:pPr>
      <w:r>
        <w:rPr>
          <w:rFonts w:ascii="宋体" w:hAnsi="宋体" w:cs="宋体"/>
          <w:color w:val="auto"/>
          <w:szCs w:val="21"/>
          <w:highlight w:val="none"/>
        </w:rPr>
      </w:r>
      <w:r/>
    </w:p>
    <w:p>
      <w:pPr>
        <w:ind w:left="630" w:hanging="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备注：1、符</w:t>
      </w:r>
      <w:r>
        <w:rPr>
          <w:rFonts w:hint="eastAsia" w:ascii="宋体" w:hAnsi="宋体" w:cs="宋体"/>
          <w:color w:val="auto"/>
          <w:szCs w:val="21"/>
          <w:highlight w:val="none"/>
        </w:rPr>
        <w:t xml:space="preserve">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单位或者其委托的采购代理机构应当随中标、成交结果同时公告其《残疾人福利性单位声明函》，接受社会监督。</w:t>
      </w:r>
      <w:r/>
    </w:p>
    <w:p>
      <w:pPr>
        <w:pStyle w:val="914"/>
        <w:ind w:firstLine="422"/>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ind w:firstLine="422"/>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22"/>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22"/>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22"/>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22"/>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22"/>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22"/>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22"/>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22"/>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22"/>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22"/>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22"/>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22"/>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附件14：（该项为通知内容，不需要作为响应文件组成）</w:t>
      </w:r>
      <w:r/>
    </w:p>
    <w:p>
      <w:pPr>
        <w:ind w:firstLine="422"/>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政府采购合同信用融资政策告知函</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各政府采购供应商: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欢迎贵公司参加苏州市政府采购活动！</w:t>
      </w:r>
      <w:r/>
    </w:p>
    <w:p>
      <w:pPr>
        <w:pStyle w:val="903"/>
        <w:spacing w:line="360" w:lineRule="auto"/>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pStyle w:val="914"/>
        <w:ind w:firstLine="422"/>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914"/>
        <w:spacing w:line="360" w:lineRule="auto"/>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（全文完）</w:t>
      </w:r>
      <w:r/>
    </w:p>
    <w:sectPr>
      <w:footnotePr/>
      <w:endnotePr/>
      <w:type w:val="nextPage"/>
      <w:pgSz w:w="11906" w:h="16838" w:orient="portrait"/>
      <w:pgMar w:top="1440" w:right="1417" w:bottom="1440" w:left="1417" w:header="964"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Calibri">
    <w:panose1 w:val="020F0502020204030204"/>
  </w:font>
  <w:font w:name="黑体">
    <w:panose1 w:val="02010609060101010101"/>
  </w:font>
  <w:font w:name="Verdana">
    <w:panose1 w:val="020B0604030504040204"/>
  </w:font>
  <w:font w:name="仿宋_GB2312">
    <w:panose1 w:val="02010609060101010101"/>
  </w:font>
  <w:font w:name="方正仿宋_GBK">
    <w:panose1 w:val="020B0503020202020204"/>
  </w:font>
  <w:font w:name="Cambria">
    <w:panose1 w:val="02040503050406030204"/>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18"/>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11</w:t>
                          </w:r>
                          <w:r>
                            <w:rPr>
                              <w:rFonts w:hint="eastAsia" w:ascii="宋体" w:hAnsi="宋体" w:cs="宋体"/>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18"/>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11</w:t>
                    </w:r>
                    <w:r>
                      <w:rPr>
                        <w:rFonts w:hint="eastAsia" w:ascii="宋体" w:hAnsi="宋体" w:cs="宋体"/>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rPr>
        <w:rStyle w:val="930"/>
      </w:rPr>
      <w:framePr w:wrap="around" w:vAnchor="text" w:hAnchor="margin" w:xAlign="center" w:y="1"/>
    </w:pPr>
    <w:r>
      <w:fldChar w:fldCharType="begin"/>
    </w:r>
    <w:r>
      <w:rPr>
        <w:rStyle w:val="930"/>
      </w:rPr>
      <w:instrText xml:space="preserve">PAGE  </w:instrText>
    </w:r>
    <w:r>
      <w:fldChar w:fldCharType="end"/>
    </w:r>
    <w:r/>
  </w:p>
  <w:p>
    <w:pPr>
      <w:pStyle w:val="91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left"/>
      <w:tabs>
        <w:tab w:val="right" w:pos="8820" w:leader="none"/>
      </w:tabs>
      <w:rPr>
        <w:rFonts w:hint="eastAsia" w:ascii="宋体" w:hAnsi="宋体" w:eastAsia="宋体"/>
        <w:lang w:eastAsia="zh-CN"/>
      </w:rPr>
    </w:pPr>
    <w:r>
      <mc:AlternateContent>
        <mc:Choice Requires="wpg">
          <w:drawing>
            <wp:inline xmlns:wp="http://schemas.openxmlformats.org/drawingml/2006/wordprocessingDrawing" distT="0" distB="0" distL="0" distR="0">
              <wp:extent cx="326390" cy="241300"/>
              <wp:effectExtent l="0" t="0" r="16510" b="635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r/>
                    </pic:nvPicPr>
                    <pic:blipFill>
                      <a:blip r:embed="rId1"/>
                      <a:stretch/>
                    </pic:blipFill>
                    <pic:spPr bwMode="auto">
                      <a:xfrm>
                        <a:off x="0" y="0"/>
                        <a:ext cx="326390" cy="241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7pt;height:19.0pt;mso-wrap-distance-left:0.0pt;mso-wrap-distance-top:0.0pt;mso-wrap-distance-right:0.0pt;mso-wrap-distance-bottom:0.0pt;" stroked="f">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                         采购编号：</w:t>
    </w:r>
    <w:r>
      <w:rPr>
        <w:rFonts w:hint="eastAsia" w:ascii="宋体" w:hAnsi="宋体"/>
        <w:lang w:eastAsia="zh-CN"/>
      </w:rPr>
      <w:t xml:space="preserve">JSZC-320506-CJZB-C2026-0003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310" cy="241300"/>
              <wp:effectExtent l="0" t="0" r="2540" b="635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
                      <a:stretch/>
                    </pic:blipFill>
                    <pic:spPr bwMode="auto">
                      <a:xfrm>
                        <a:off x="0" y="0"/>
                        <a:ext cx="321310" cy="241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3pt;height:19.0pt;mso-wrap-distance-left:0.0pt;mso-wrap-distance-top:0.0pt;mso-wrap-distance-right:0.0pt;mso-wrap-distance-bottom:0.0pt;" stroked="f">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标号：JSZC-320500-CJZB-C2024-0130号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961"/>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japaneseCounting"/>
      <w:pStyle w:val="926"/>
      <w:isLgl w:val="false"/>
      <w:suff w:val="tab"/>
      <w:lvlText w:val="（%1）"/>
      <w:lvlJc w:val="left"/>
      <w:pPr>
        <w:ind w:left="1140" w:hanging="720"/>
        <w:tabs>
          <w:tab w:val="left" w:pos="1140" w:leader="none"/>
        </w:tabs>
      </w:pPr>
      <w:rPr>
        <w:rFonts w:hint="eastAsia"/>
        <w:b w:val="0"/>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decimal"/>
      <w:isLgl w:val="false"/>
      <w:suff w:val="tab"/>
      <w:lvlText w:val="（%1）"/>
      <w:lvlJc w:val="left"/>
      <w:pPr>
        <w:ind w:left="945" w:hanging="525"/>
      </w:p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9"/>
    <w:link w:val="710"/>
    <w:uiPriority w:val="9"/>
    <w:rPr>
      <w:rFonts w:ascii="Arial" w:hAnsi="Arial" w:eastAsia="Arial" w:cs="Arial"/>
      <w:sz w:val="40"/>
      <w:szCs w:val="40"/>
    </w:rPr>
  </w:style>
  <w:style w:type="character" w:styleId="15">
    <w:name w:val="Heading 2 Char"/>
    <w:basedOn w:val="719"/>
    <w:link w:val="711"/>
    <w:uiPriority w:val="9"/>
    <w:rPr>
      <w:rFonts w:ascii="Arial" w:hAnsi="Arial" w:eastAsia="Arial" w:cs="Arial"/>
      <w:sz w:val="34"/>
    </w:rPr>
  </w:style>
  <w:style w:type="character" w:styleId="17">
    <w:name w:val="Heading 3 Char"/>
    <w:basedOn w:val="719"/>
    <w:link w:val="712"/>
    <w:uiPriority w:val="9"/>
    <w:rPr>
      <w:rFonts w:ascii="Arial" w:hAnsi="Arial" w:eastAsia="Arial" w:cs="Arial"/>
      <w:sz w:val="30"/>
      <w:szCs w:val="30"/>
    </w:rPr>
  </w:style>
  <w:style w:type="character" w:styleId="19">
    <w:name w:val="Heading 4 Char"/>
    <w:basedOn w:val="719"/>
    <w:link w:val="713"/>
    <w:uiPriority w:val="9"/>
    <w:rPr>
      <w:rFonts w:ascii="Arial" w:hAnsi="Arial" w:eastAsia="Arial" w:cs="Arial"/>
      <w:b/>
      <w:bCs/>
      <w:sz w:val="26"/>
      <w:szCs w:val="26"/>
    </w:rPr>
  </w:style>
  <w:style w:type="character" w:styleId="21">
    <w:name w:val="Heading 5 Char"/>
    <w:basedOn w:val="719"/>
    <w:link w:val="714"/>
    <w:uiPriority w:val="9"/>
    <w:rPr>
      <w:rFonts w:ascii="Arial" w:hAnsi="Arial" w:eastAsia="Arial" w:cs="Arial"/>
      <w:b/>
      <w:bCs/>
      <w:sz w:val="24"/>
      <w:szCs w:val="24"/>
    </w:rPr>
  </w:style>
  <w:style w:type="character" w:styleId="23">
    <w:name w:val="Heading 6 Char"/>
    <w:basedOn w:val="719"/>
    <w:link w:val="715"/>
    <w:uiPriority w:val="9"/>
    <w:rPr>
      <w:rFonts w:ascii="Arial" w:hAnsi="Arial" w:eastAsia="Arial" w:cs="Arial"/>
      <w:b/>
      <w:bCs/>
      <w:sz w:val="22"/>
      <w:szCs w:val="22"/>
    </w:rPr>
  </w:style>
  <w:style w:type="character" w:styleId="25">
    <w:name w:val="Heading 7 Char"/>
    <w:basedOn w:val="719"/>
    <w:link w:val="716"/>
    <w:uiPriority w:val="9"/>
    <w:rPr>
      <w:rFonts w:ascii="Arial" w:hAnsi="Arial" w:eastAsia="Arial" w:cs="Arial"/>
      <w:b/>
      <w:bCs/>
      <w:i/>
      <w:iCs/>
      <w:sz w:val="22"/>
      <w:szCs w:val="22"/>
    </w:rPr>
  </w:style>
  <w:style w:type="character" w:styleId="27">
    <w:name w:val="Heading 8 Char"/>
    <w:basedOn w:val="719"/>
    <w:link w:val="717"/>
    <w:uiPriority w:val="9"/>
    <w:rPr>
      <w:rFonts w:ascii="Arial" w:hAnsi="Arial" w:eastAsia="Arial" w:cs="Arial"/>
      <w:i/>
      <w:iCs/>
      <w:sz w:val="22"/>
      <w:szCs w:val="22"/>
    </w:rPr>
  </w:style>
  <w:style w:type="character" w:styleId="29">
    <w:name w:val="Heading 9 Char"/>
    <w:basedOn w:val="719"/>
    <w:link w:val="718"/>
    <w:uiPriority w:val="9"/>
    <w:rPr>
      <w:rFonts w:ascii="Arial" w:hAnsi="Arial" w:eastAsia="Arial" w:cs="Arial"/>
      <w:i/>
      <w:iCs/>
      <w:sz w:val="21"/>
      <w:szCs w:val="21"/>
    </w:rPr>
  </w:style>
  <w:style w:type="character" w:styleId="34">
    <w:name w:val="Title Char"/>
    <w:basedOn w:val="719"/>
    <w:link w:val="745"/>
    <w:uiPriority w:val="10"/>
    <w:rPr>
      <w:sz w:val="48"/>
      <w:szCs w:val="48"/>
    </w:rPr>
  </w:style>
  <w:style w:type="character" w:styleId="36">
    <w:name w:val="Subtitle Char"/>
    <w:basedOn w:val="719"/>
    <w:link w:val="739"/>
    <w:uiPriority w:val="11"/>
    <w:rPr>
      <w:sz w:val="24"/>
      <w:szCs w:val="24"/>
    </w:rPr>
  </w:style>
  <w:style w:type="character" w:styleId="38">
    <w:name w:val="Quote Char"/>
    <w:link w:val="765"/>
    <w:uiPriority w:val="29"/>
    <w:rPr>
      <w:i/>
    </w:rPr>
  </w:style>
  <w:style w:type="character" w:styleId="40">
    <w:name w:val="Intense Quote Char"/>
    <w:link w:val="767"/>
    <w:uiPriority w:val="30"/>
    <w:rPr>
      <w:i/>
    </w:rPr>
  </w:style>
  <w:style w:type="character" w:styleId="42">
    <w:name w:val="Header Char"/>
    <w:basedOn w:val="719"/>
    <w:link w:val="736"/>
    <w:uiPriority w:val="99"/>
  </w:style>
  <w:style w:type="character" w:styleId="46">
    <w:name w:val="Caption Char"/>
    <w:basedOn w:val="723"/>
    <w:link w:val="735"/>
    <w:uiPriority w:val="99"/>
  </w:style>
  <w:style w:type="table" w:styleId="49">
    <w:name w:val="Plain Table 1"/>
    <w:basedOn w:val="7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40"/>
    <w:uiPriority w:val="99"/>
    <w:rPr>
      <w:sz w:val="18"/>
    </w:rPr>
  </w:style>
  <w:style w:type="character" w:styleId="178">
    <w:name w:val="Endnote Text Char"/>
    <w:link w:val="733"/>
    <w:uiPriority w:val="99"/>
    <w:rPr>
      <w:sz w:val="20"/>
    </w:rPr>
  </w:style>
  <w:style w:type="paragraph" w:styleId="189">
    <w:name w:val="TOC Heading"/>
    <w:uiPriority w:val="39"/>
    <w:unhideWhenUsed/>
  </w:style>
  <w:style w:type="paragraph" w:styleId="70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10">
    <w:name w:val="Heading 1"/>
    <w:basedOn w:val="709"/>
    <w:next w:val="709"/>
    <w:link w:val="752"/>
    <w:uiPriority w:val="9"/>
    <w:qFormat/>
    <w:pPr>
      <w:keepLines/>
      <w:keepNext/>
      <w:spacing w:before="480" w:after="200"/>
      <w:outlineLvl w:val="0"/>
    </w:pPr>
    <w:rPr>
      <w:rFonts w:ascii="Arial" w:hAnsi="Arial" w:eastAsia="Arial" w:cs="Arial"/>
      <w:sz w:val="40"/>
      <w:szCs w:val="40"/>
    </w:rPr>
  </w:style>
  <w:style w:type="paragraph" w:styleId="711">
    <w:name w:val="Heading 2"/>
    <w:basedOn w:val="709"/>
    <w:next w:val="709"/>
    <w:link w:val="753"/>
    <w:uiPriority w:val="9"/>
    <w:unhideWhenUsed/>
    <w:qFormat/>
    <w:pPr>
      <w:keepLines/>
      <w:keepNext/>
      <w:spacing w:before="360" w:after="200"/>
      <w:outlineLvl w:val="1"/>
    </w:pPr>
    <w:rPr>
      <w:rFonts w:ascii="Arial" w:hAnsi="Arial" w:eastAsia="Arial" w:cs="Arial"/>
      <w:sz w:val="34"/>
    </w:rPr>
  </w:style>
  <w:style w:type="paragraph" w:styleId="712">
    <w:name w:val="Heading 3"/>
    <w:basedOn w:val="709"/>
    <w:next w:val="709"/>
    <w:link w:val="754"/>
    <w:uiPriority w:val="9"/>
    <w:unhideWhenUsed/>
    <w:qFormat/>
    <w:pPr>
      <w:keepLines/>
      <w:keepNext/>
      <w:spacing w:before="320" w:after="200"/>
      <w:outlineLvl w:val="2"/>
    </w:pPr>
    <w:rPr>
      <w:rFonts w:ascii="Arial" w:hAnsi="Arial" w:eastAsia="Arial" w:cs="Arial"/>
      <w:sz w:val="30"/>
      <w:szCs w:val="30"/>
    </w:rPr>
  </w:style>
  <w:style w:type="paragraph" w:styleId="713">
    <w:name w:val="Heading 4"/>
    <w:basedOn w:val="709"/>
    <w:next w:val="709"/>
    <w:link w:val="755"/>
    <w:uiPriority w:val="9"/>
    <w:unhideWhenUsed/>
    <w:qFormat/>
    <w:pPr>
      <w:keepLines/>
      <w:keepNext/>
      <w:spacing w:before="320" w:after="200"/>
      <w:outlineLvl w:val="3"/>
    </w:pPr>
    <w:rPr>
      <w:rFonts w:ascii="Arial" w:hAnsi="Arial" w:eastAsia="Arial" w:cs="Arial"/>
      <w:b/>
      <w:bCs/>
      <w:sz w:val="26"/>
      <w:szCs w:val="26"/>
    </w:rPr>
  </w:style>
  <w:style w:type="paragraph" w:styleId="714">
    <w:name w:val="Heading 5"/>
    <w:basedOn w:val="709"/>
    <w:next w:val="709"/>
    <w:link w:val="756"/>
    <w:uiPriority w:val="9"/>
    <w:unhideWhenUsed/>
    <w:qFormat/>
    <w:pPr>
      <w:keepLines/>
      <w:keepNext/>
      <w:spacing w:before="320" w:after="200"/>
      <w:outlineLvl w:val="4"/>
    </w:pPr>
    <w:rPr>
      <w:rFonts w:ascii="Arial" w:hAnsi="Arial" w:eastAsia="Arial" w:cs="Arial"/>
      <w:b/>
      <w:bCs/>
      <w:sz w:val="24"/>
    </w:rPr>
  </w:style>
  <w:style w:type="paragraph" w:styleId="715">
    <w:name w:val="Heading 6"/>
    <w:basedOn w:val="709"/>
    <w:next w:val="709"/>
    <w:link w:val="757"/>
    <w:uiPriority w:val="9"/>
    <w:unhideWhenUsed/>
    <w:qFormat/>
    <w:pPr>
      <w:keepLines/>
      <w:keepNext/>
      <w:spacing w:before="320" w:after="200"/>
      <w:outlineLvl w:val="5"/>
    </w:pPr>
    <w:rPr>
      <w:rFonts w:ascii="Arial" w:hAnsi="Arial" w:eastAsia="Arial" w:cs="Arial"/>
      <w:b/>
      <w:bCs/>
      <w:sz w:val="22"/>
      <w:szCs w:val="22"/>
    </w:rPr>
  </w:style>
  <w:style w:type="paragraph" w:styleId="716">
    <w:name w:val="Heading 7"/>
    <w:basedOn w:val="709"/>
    <w:next w:val="709"/>
    <w:link w:val="758"/>
    <w:uiPriority w:val="9"/>
    <w:unhideWhenUsed/>
    <w:qFormat/>
    <w:pPr>
      <w:keepLines/>
      <w:keepNext/>
      <w:spacing w:before="320" w:after="200"/>
      <w:outlineLvl w:val="6"/>
    </w:pPr>
    <w:rPr>
      <w:rFonts w:ascii="Arial" w:hAnsi="Arial" w:eastAsia="Arial" w:cs="Arial"/>
      <w:b/>
      <w:bCs/>
      <w:i/>
      <w:iCs/>
      <w:sz w:val="22"/>
      <w:szCs w:val="22"/>
    </w:rPr>
  </w:style>
  <w:style w:type="paragraph" w:styleId="717">
    <w:name w:val="Heading 8"/>
    <w:basedOn w:val="709"/>
    <w:next w:val="709"/>
    <w:link w:val="759"/>
    <w:uiPriority w:val="9"/>
    <w:unhideWhenUsed/>
    <w:qFormat/>
    <w:pPr>
      <w:keepLines/>
      <w:keepNext/>
      <w:spacing w:before="320" w:after="200"/>
      <w:outlineLvl w:val="7"/>
    </w:pPr>
    <w:rPr>
      <w:rFonts w:ascii="Arial" w:hAnsi="Arial" w:eastAsia="Arial" w:cs="Arial"/>
      <w:i/>
      <w:iCs/>
      <w:sz w:val="22"/>
      <w:szCs w:val="22"/>
    </w:rPr>
  </w:style>
  <w:style w:type="paragraph" w:styleId="718">
    <w:name w:val="Heading 9"/>
    <w:basedOn w:val="709"/>
    <w:next w:val="709"/>
    <w:link w:val="760"/>
    <w:uiPriority w:val="9"/>
    <w:unhideWhenUsed/>
    <w:qFormat/>
    <w:pPr>
      <w:keepLines/>
      <w:keepNext/>
      <w:spacing w:before="320" w:after="200"/>
      <w:outlineLvl w:val="8"/>
    </w:pPr>
    <w:rPr>
      <w:rFonts w:ascii="Arial" w:hAnsi="Arial" w:eastAsia="Arial" w:cs="Arial"/>
      <w:i/>
      <w:iCs/>
      <w:szCs w:val="21"/>
    </w:rPr>
  </w:style>
  <w:style w:type="character" w:styleId="719" w:default="1">
    <w:name w:val="Default Paragraph Font"/>
    <w:uiPriority w:val="1"/>
    <w:semiHidden/>
    <w:unhideWhenUsed/>
    <w:qFormat/>
  </w:style>
  <w:style w:type="table" w:styleId="720" w:default="1">
    <w:name w:val="Normal Table"/>
    <w:uiPriority w:val="99"/>
    <w:semiHidden/>
    <w:unhideWhenUsed/>
    <w:qFormat/>
    <w:tblPr>
      <w:tblCellMar>
        <w:left w:w="108" w:type="dxa"/>
        <w:top w:w="0" w:type="dxa"/>
        <w:right w:w="108" w:type="dxa"/>
        <w:bottom w:w="0" w:type="dxa"/>
      </w:tblCellMar>
    </w:tblPr>
  </w:style>
  <w:style w:type="paragraph" w:styleId="721">
    <w:name w:val="toc 7"/>
    <w:basedOn w:val="709"/>
    <w:next w:val="709"/>
    <w:uiPriority w:val="39"/>
    <w:unhideWhenUsed/>
    <w:qFormat/>
    <w:pPr>
      <w:ind w:left="1701"/>
      <w:spacing w:after="57"/>
    </w:pPr>
  </w:style>
  <w:style w:type="paragraph" w:styleId="722">
    <w:name w:val="Normal Indent"/>
    <w:basedOn w:val="709"/>
    <w:uiPriority w:val="0"/>
    <w:qFormat/>
    <w:pPr>
      <w:ind w:firstLine="420"/>
      <w:jc w:val="left"/>
    </w:pPr>
    <w:rPr>
      <w:rFonts w:eastAsia="楷体_GB2312"/>
      <w:sz w:val="24"/>
    </w:rPr>
  </w:style>
  <w:style w:type="paragraph" w:styleId="723">
    <w:name w:val="Caption"/>
    <w:basedOn w:val="709"/>
    <w:next w:val="709"/>
    <w:uiPriority w:val="35"/>
    <w:semiHidden/>
    <w:unhideWhenUsed/>
    <w:qFormat/>
    <w:pPr>
      <w:spacing w:line="276" w:lineRule="auto"/>
    </w:pPr>
    <w:rPr>
      <w:b/>
      <w:bCs/>
      <w:color w:val="4f81bd"/>
      <w:sz w:val="18"/>
      <w:szCs w:val="18"/>
    </w:rPr>
  </w:style>
  <w:style w:type="paragraph" w:styleId="724">
    <w:name w:val="Document Map"/>
    <w:basedOn w:val="709"/>
    <w:uiPriority w:val="0"/>
    <w:qFormat/>
    <w:pPr>
      <w:shd w:val="clear" w:color="auto" w:fill="000080"/>
    </w:pPr>
  </w:style>
  <w:style w:type="paragraph" w:styleId="725">
    <w:name w:val="annotation text"/>
    <w:basedOn w:val="709"/>
    <w:uiPriority w:val="99"/>
    <w:semiHidden/>
    <w:unhideWhenUsed/>
    <w:qFormat/>
    <w:pPr>
      <w:jc w:val="left"/>
    </w:pPr>
  </w:style>
  <w:style w:type="paragraph" w:styleId="726">
    <w:name w:val="Body Text"/>
    <w:basedOn w:val="709"/>
    <w:uiPriority w:val="99"/>
    <w:unhideWhenUsed/>
    <w:qFormat/>
    <w:pPr>
      <w:spacing w:after="120"/>
    </w:pPr>
    <w:rPr>
      <w:sz w:val="20"/>
    </w:rPr>
  </w:style>
  <w:style w:type="paragraph" w:styleId="727">
    <w:name w:val="Body Text Indent"/>
    <w:basedOn w:val="709"/>
    <w:next w:val="728"/>
    <w:uiPriority w:val="0"/>
    <w:qFormat/>
    <w:pPr>
      <w:ind w:left="315" w:firstLine="632"/>
      <w:spacing w:line="360" w:lineRule="auto"/>
    </w:pPr>
    <w:rPr>
      <w:b/>
    </w:rPr>
  </w:style>
  <w:style w:type="paragraph" w:styleId="728">
    <w:name w:val="envelope return"/>
    <w:basedOn w:val="709"/>
    <w:uiPriority w:val="0"/>
    <w:qFormat/>
    <w:rPr>
      <w:rFonts w:ascii="Arial" w:hAnsi="Arial" w:eastAsia="楷体_GB2312"/>
      <w:sz w:val="26"/>
    </w:rPr>
  </w:style>
  <w:style w:type="paragraph" w:styleId="729">
    <w:name w:val="toc 5"/>
    <w:basedOn w:val="709"/>
    <w:next w:val="709"/>
    <w:uiPriority w:val="39"/>
    <w:unhideWhenUsed/>
    <w:qFormat/>
    <w:pPr>
      <w:ind w:left="1134"/>
      <w:spacing w:after="57"/>
    </w:pPr>
  </w:style>
  <w:style w:type="paragraph" w:styleId="730">
    <w:name w:val="toc 3"/>
    <w:basedOn w:val="709"/>
    <w:next w:val="709"/>
    <w:uiPriority w:val="39"/>
    <w:unhideWhenUsed/>
    <w:qFormat/>
    <w:pPr>
      <w:ind w:left="567"/>
      <w:spacing w:after="57"/>
    </w:pPr>
  </w:style>
  <w:style w:type="paragraph" w:styleId="731">
    <w:name w:val="Plain Text"/>
    <w:basedOn w:val="709"/>
    <w:uiPriority w:val="0"/>
    <w:qFormat/>
    <w:rPr>
      <w:rFonts w:ascii="宋体" w:hAnsi="Courier New" w:eastAsia="楷体_GB2312"/>
      <w:sz w:val="28"/>
    </w:rPr>
  </w:style>
  <w:style w:type="paragraph" w:styleId="732">
    <w:name w:val="toc 8"/>
    <w:basedOn w:val="709"/>
    <w:next w:val="709"/>
    <w:uiPriority w:val="39"/>
    <w:unhideWhenUsed/>
    <w:qFormat/>
    <w:pPr>
      <w:ind w:left="1984"/>
      <w:spacing w:after="57"/>
    </w:pPr>
  </w:style>
  <w:style w:type="paragraph" w:styleId="733">
    <w:name w:val="endnote text"/>
    <w:basedOn w:val="709"/>
    <w:link w:val="898"/>
    <w:uiPriority w:val="99"/>
    <w:semiHidden/>
    <w:unhideWhenUsed/>
    <w:qFormat/>
    <w:rPr>
      <w:sz w:val="20"/>
    </w:rPr>
  </w:style>
  <w:style w:type="paragraph" w:styleId="734">
    <w:name w:val="Balloon Text"/>
    <w:basedOn w:val="709"/>
    <w:link w:val="997"/>
    <w:uiPriority w:val="99"/>
    <w:semiHidden/>
    <w:unhideWhenUsed/>
    <w:qFormat/>
    <w:rPr>
      <w:sz w:val="18"/>
      <w:szCs w:val="18"/>
    </w:rPr>
  </w:style>
  <w:style w:type="paragraph" w:styleId="735">
    <w:name w:val="Footer"/>
    <w:basedOn w:val="709"/>
    <w:link w:val="771"/>
    <w:uiPriority w:val="99"/>
    <w:unhideWhenUsed/>
    <w:qFormat/>
    <w:pPr>
      <w:tabs>
        <w:tab w:val="center" w:pos="7143" w:leader="none"/>
        <w:tab w:val="right" w:pos="14287" w:leader="none"/>
      </w:tabs>
    </w:pPr>
  </w:style>
  <w:style w:type="paragraph" w:styleId="736">
    <w:name w:val="Header"/>
    <w:basedOn w:val="709"/>
    <w:link w:val="769"/>
    <w:uiPriority w:val="99"/>
    <w:unhideWhenUsed/>
    <w:qFormat/>
    <w:pPr>
      <w:tabs>
        <w:tab w:val="center" w:pos="7143" w:leader="none"/>
        <w:tab w:val="right" w:pos="14287" w:leader="none"/>
      </w:tabs>
    </w:pPr>
  </w:style>
  <w:style w:type="paragraph" w:styleId="737">
    <w:name w:val="toc 1"/>
    <w:basedOn w:val="709"/>
    <w:next w:val="709"/>
    <w:uiPriority w:val="39"/>
    <w:unhideWhenUsed/>
    <w:qFormat/>
    <w:pPr>
      <w:spacing w:after="57"/>
    </w:pPr>
  </w:style>
  <w:style w:type="paragraph" w:styleId="738">
    <w:name w:val="toc 4"/>
    <w:basedOn w:val="709"/>
    <w:next w:val="709"/>
    <w:uiPriority w:val="39"/>
    <w:unhideWhenUsed/>
    <w:qFormat/>
    <w:pPr>
      <w:ind w:left="850"/>
      <w:spacing w:after="57"/>
    </w:pPr>
  </w:style>
  <w:style w:type="paragraph" w:styleId="739">
    <w:name w:val="Subtitle"/>
    <w:basedOn w:val="709"/>
    <w:next w:val="709"/>
    <w:link w:val="764"/>
    <w:uiPriority w:val="11"/>
    <w:qFormat/>
    <w:pPr>
      <w:spacing w:before="200" w:after="200"/>
    </w:pPr>
    <w:rPr>
      <w:sz w:val="24"/>
    </w:rPr>
  </w:style>
  <w:style w:type="paragraph" w:styleId="740">
    <w:name w:val="footnote text"/>
    <w:basedOn w:val="709"/>
    <w:link w:val="897"/>
    <w:uiPriority w:val="99"/>
    <w:semiHidden/>
    <w:unhideWhenUsed/>
    <w:qFormat/>
    <w:pPr>
      <w:spacing w:after="40"/>
    </w:pPr>
    <w:rPr>
      <w:sz w:val="18"/>
    </w:rPr>
  </w:style>
  <w:style w:type="paragraph" w:styleId="741">
    <w:name w:val="toc 6"/>
    <w:basedOn w:val="709"/>
    <w:next w:val="709"/>
    <w:uiPriority w:val="39"/>
    <w:unhideWhenUsed/>
    <w:qFormat/>
    <w:pPr>
      <w:ind w:left="1417"/>
      <w:spacing w:after="57"/>
    </w:pPr>
  </w:style>
  <w:style w:type="paragraph" w:styleId="742">
    <w:name w:val="table of figures"/>
    <w:basedOn w:val="709"/>
    <w:next w:val="709"/>
    <w:uiPriority w:val="99"/>
    <w:unhideWhenUsed/>
    <w:qFormat/>
  </w:style>
  <w:style w:type="paragraph" w:styleId="743">
    <w:name w:val="toc 2"/>
    <w:basedOn w:val="709"/>
    <w:next w:val="709"/>
    <w:uiPriority w:val="39"/>
    <w:unhideWhenUsed/>
    <w:qFormat/>
    <w:pPr>
      <w:ind w:left="283"/>
      <w:spacing w:after="57"/>
    </w:pPr>
  </w:style>
  <w:style w:type="paragraph" w:styleId="744">
    <w:name w:val="toc 9"/>
    <w:basedOn w:val="709"/>
    <w:next w:val="709"/>
    <w:uiPriority w:val="39"/>
    <w:unhideWhenUsed/>
    <w:qFormat/>
    <w:pPr>
      <w:ind w:left="2268"/>
      <w:spacing w:after="57"/>
    </w:pPr>
  </w:style>
  <w:style w:type="paragraph" w:styleId="745">
    <w:name w:val="Title"/>
    <w:basedOn w:val="709"/>
    <w:next w:val="709"/>
    <w:link w:val="763"/>
    <w:uiPriority w:val="10"/>
    <w:qFormat/>
    <w:pPr>
      <w:contextualSpacing/>
      <w:spacing w:before="300" w:after="200"/>
    </w:pPr>
    <w:rPr>
      <w:sz w:val="48"/>
      <w:szCs w:val="48"/>
    </w:rPr>
  </w:style>
  <w:style w:type="table" w:styleId="74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7">
    <w:name w:val="endnote reference"/>
    <w:uiPriority w:val="99"/>
    <w:semiHidden/>
    <w:unhideWhenUsed/>
    <w:qFormat/>
    <w:rPr>
      <w:vertAlign w:val="superscript"/>
    </w:rPr>
  </w:style>
  <w:style w:type="character" w:styleId="748">
    <w:name w:val="page number"/>
    <w:uiPriority w:val="0"/>
    <w:qFormat/>
  </w:style>
  <w:style w:type="character" w:styleId="749">
    <w:name w:val="Hyperlink"/>
    <w:uiPriority w:val="99"/>
    <w:unhideWhenUsed/>
    <w:qFormat/>
    <w:rPr>
      <w:color w:val="0000ff"/>
      <w:u w:val="single"/>
    </w:rPr>
  </w:style>
  <w:style w:type="character" w:styleId="750">
    <w:name w:val="annotation reference"/>
    <w:basedOn w:val="719"/>
    <w:uiPriority w:val="0"/>
    <w:qFormat/>
    <w:rPr>
      <w:sz w:val="21"/>
      <w:szCs w:val="21"/>
    </w:rPr>
  </w:style>
  <w:style w:type="character" w:styleId="751">
    <w:name w:val="footnote reference"/>
    <w:uiPriority w:val="99"/>
    <w:unhideWhenUsed/>
    <w:qFormat/>
    <w:rPr>
      <w:vertAlign w:val="superscript"/>
    </w:rPr>
  </w:style>
  <w:style w:type="character" w:styleId="752" w:customStyle="1">
    <w:name w:val="标题 1 Char1"/>
    <w:link w:val="710"/>
    <w:uiPriority w:val="9"/>
    <w:qFormat/>
    <w:rPr>
      <w:rFonts w:ascii="Arial" w:hAnsi="Arial" w:eastAsia="Arial" w:cs="Arial"/>
      <w:sz w:val="40"/>
      <w:szCs w:val="40"/>
    </w:rPr>
  </w:style>
  <w:style w:type="character" w:styleId="753" w:customStyle="1">
    <w:name w:val="标题 2 Char1"/>
    <w:link w:val="711"/>
    <w:uiPriority w:val="9"/>
    <w:qFormat/>
    <w:rPr>
      <w:rFonts w:ascii="Arial" w:hAnsi="Arial" w:eastAsia="Arial" w:cs="Arial"/>
      <w:sz w:val="34"/>
    </w:rPr>
  </w:style>
  <w:style w:type="character" w:styleId="754" w:customStyle="1">
    <w:name w:val="标题 3 Char1"/>
    <w:link w:val="712"/>
    <w:uiPriority w:val="9"/>
    <w:qFormat/>
    <w:rPr>
      <w:rFonts w:ascii="Arial" w:hAnsi="Arial" w:eastAsia="Arial" w:cs="Arial"/>
      <w:sz w:val="30"/>
      <w:szCs w:val="30"/>
    </w:rPr>
  </w:style>
  <w:style w:type="character" w:styleId="755" w:customStyle="1">
    <w:name w:val="标题 4 Char1"/>
    <w:link w:val="713"/>
    <w:uiPriority w:val="9"/>
    <w:qFormat/>
    <w:rPr>
      <w:rFonts w:ascii="Arial" w:hAnsi="Arial" w:eastAsia="Arial" w:cs="Arial"/>
      <w:b/>
      <w:bCs/>
      <w:sz w:val="26"/>
      <w:szCs w:val="26"/>
    </w:rPr>
  </w:style>
  <w:style w:type="character" w:styleId="756" w:customStyle="1">
    <w:name w:val="标题 5 Char1"/>
    <w:link w:val="714"/>
    <w:uiPriority w:val="9"/>
    <w:qFormat/>
    <w:rPr>
      <w:rFonts w:ascii="Arial" w:hAnsi="Arial" w:eastAsia="Arial" w:cs="Arial"/>
      <w:b/>
      <w:bCs/>
      <w:sz w:val="24"/>
      <w:szCs w:val="24"/>
    </w:rPr>
  </w:style>
  <w:style w:type="character" w:styleId="757" w:customStyle="1">
    <w:name w:val="标题 6 Char"/>
    <w:link w:val="715"/>
    <w:uiPriority w:val="9"/>
    <w:qFormat/>
    <w:rPr>
      <w:rFonts w:ascii="Arial" w:hAnsi="Arial" w:eastAsia="Arial" w:cs="Arial"/>
      <w:b/>
      <w:bCs/>
      <w:sz w:val="22"/>
      <w:szCs w:val="22"/>
    </w:rPr>
  </w:style>
  <w:style w:type="character" w:styleId="758" w:customStyle="1">
    <w:name w:val="标题 7 Char"/>
    <w:link w:val="716"/>
    <w:uiPriority w:val="9"/>
    <w:qFormat/>
    <w:rPr>
      <w:rFonts w:ascii="Arial" w:hAnsi="Arial" w:eastAsia="Arial" w:cs="Arial"/>
      <w:b/>
      <w:bCs/>
      <w:i/>
      <w:iCs/>
      <w:sz w:val="22"/>
      <w:szCs w:val="22"/>
    </w:rPr>
  </w:style>
  <w:style w:type="character" w:styleId="759" w:customStyle="1">
    <w:name w:val="标题 8 Char"/>
    <w:link w:val="717"/>
    <w:uiPriority w:val="9"/>
    <w:qFormat/>
    <w:rPr>
      <w:rFonts w:ascii="Arial" w:hAnsi="Arial" w:eastAsia="Arial" w:cs="Arial"/>
      <w:i/>
      <w:iCs/>
      <w:sz w:val="22"/>
      <w:szCs w:val="22"/>
    </w:rPr>
  </w:style>
  <w:style w:type="character" w:styleId="760" w:customStyle="1">
    <w:name w:val="标题 9 Char"/>
    <w:link w:val="718"/>
    <w:uiPriority w:val="9"/>
    <w:qFormat/>
    <w:rPr>
      <w:rFonts w:ascii="Arial" w:hAnsi="Arial" w:eastAsia="Arial" w:cs="Arial"/>
      <w:i/>
      <w:iCs/>
      <w:sz w:val="21"/>
      <w:szCs w:val="21"/>
    </w:rPr>
  </w:style>
  <w:style w:type="paragraph" w:styleId="761">
    <w:name w:val="List Paragraph"/>
    <w:basedOn w:val="709"/>
    <w:uiPriority w:val="34"/>
    <w:qFormat/>
    <w:pPr>
      <w:contextualSpacing/>
      <w:ind w:left="720"/>
    </w:pPr>
  </w:style>
  <w:style w:type="paragraph" w:styleId="762">
    <w:name w:val="No Spacing"/>
    <w:uiPriority w:val="1"/>
    <w:qFormat/>
    <w:rPr>
      <w:rFonts w:ascii="Times New Roman" w:hAnsi="Times New Roman" w:eastAsia="宋体" w:cs="Times New Roman"/>
      <w:lang w:val="en-US" w:eastAsia="zh-CN" w:bidi="ar-SA"/>
    </w:rPr>
  </w:style>
  <w:style w:type="character" w:styleId="763" w:customStyle="1">
    <w:name w:val="标题 Char1"/>
    <w:link w:val="745"/>
    <w:uiPriority w:val="10"/>
    <w:qFormat/>
    <w:rPr>
      <w:sz w:val="48"/>
      <w:szCs w:val="48"/>
    </w:rPr>
  </w:style>
  <w:style w:type="character" w:styleId="764" w:customStyle="1">
    <w:name w:val="副标题 Char"/>
    <w:link w:val="739"/>
    <w:uiPriority w:val="11"/>
    <w:qFormat/>
    <w:rPr>
      <w:sz w:val="24"/>
      <w:szCs w:val="24"/>
    </w:rPr>
  </w:style>
  <w:style w:type="paragraph" w:styleId="765">
    <w:name w:val="Quote"/>
    <w:basedOn w:val="709"/>
    <w:next w:val="709"/>
    <w:link w:val="766"/>
    <w:uiPriority w:val="29"/>
    <w:qFormat/>
    <w:pPr>
      <w:ind w:left="720" w:right="720"/>
    </w:pPr>
    <w:rPr>
      <w:i/>
    </w:rPr>
  </w:style>
  <w:style w:type="character" w:styleId="766" w:customStyle="1">
    <w:name w:val="引用 Char"/>
    <w:link w:val="765"/>
    <w:uiPriority w:val="29"/>
    <w:qFormat/>
    <w:rPr>
      <w:i/>
    </w:rPr>
  </w:style>
  <w:style w:type="paragraph" w:styleId="767">
    <w:name w:val="Intense Quote"/>
    <w:basedOn w:val="709"/>
    <w:next w:val="709"/>
    <w:link w:val="7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customStyle="1">
    <w:name w:val="明显引用 Char"/>
    <w:link w:val="767"/>
    <w:uiPriority w:val="30"/>
    <w:qFormat/>
    <w:rPr>
      <w:i/>
    </w:rPr>
  </w:style>
  <w:style w:type="character" w:styleId="769" w:customStyle="1">
    <w:name w:val="页眉 Char1"/>
    <w:link w:val="736"/>
    <w:uiPriority w:val="99"/>
    <w:qFormat/>
  </w:style>
  <w:style w:type="character" w:styleId="770" w:customStyle="1">
    <w:name w:val="Footer Char"/>
    <w:uiPriority w:val="99"/>
    <w:qFormat/>
  </w:style>
  <w:style w:type="character" w:styleId="771" w:customStyle="1">
    <w:name w:val="页脚 Char1"/>
    <w:link w:val="735"/>
    <w:uiPriority w:val="99"/>
    <w:qFormat/>
  </w:style>
  <w:style w:type="table" w:styleId="77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3"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4"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75" w:customStyle="1">
    <w:name w:val="无格式表格 31"/>
    <w:uiPriority w:val="99"/>
    <w:qFormat/>
    <w:tblPr>
      <w:tblCellMar>
        <w:left w:w="0" w:type="dxa"/>
        <w:top w:w="0" w:type="dxa"/>
        <w:right w:w="0" w:type="dxa"/>
        <w:bottom w:w="0" w:type="dxa"/>
      </w:tblCellMar>
    </w:tblPr>
  </w:style>
  <w:style w:type="table" w:styleId="776" w:customStyle="1">
    <w:name w:val="无格式表格 41"/>
    <w:uiPriority w:val="99"/>
    <w:qFormat/>
    <w:tblPr>
      <w:tblCellMar>
        <w:left w:w="0" w:type="dxa"/>
        <w:top w:w="0" w:type="dxa"/>
        <w:right w:w="0" w:type="dxa"/>
        <w:bottom w:w="0" w:type="dxa"/>
      </w:tblCellMar>
    </w:tblPr>
  </w:style>
  <w:style w:type="table" w:styleId="777" w:customStyle="1">
    <w:name w:val="无格式表格 51"/>
    <w:uiPriority w:val="99"/>
    <w:qFormat/>
    <w:tblPr>
      <w:tblCellMar>
        <w:left w:w="0" w:type="dxa"/>
        <w:top w:w="0" w:type="dxa"/>
        <w:right w:w="0" w:type="dxa"/>
        <w:bottom w:w="0" w:type="dxa"/>
      </w:tblCellMar>
    </w:tblPr>
  </w:style>
  <w:style w:type="table" w:styleId="778"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7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8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8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8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8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8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85"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8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8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2"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9"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0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0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0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0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0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06"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3"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1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0"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7" w:customStyle="1">
    <w:name w:val="清单表 1 浅色1"/>
    <w:uiPriority w:val="99"/>
    <w:qFormat/>
    <w:tblPr>
      <w:tblCellMar>
        <w:left w:w="0" w:type="dxa"/>
        <w:top w:w="0" w:type="dxa"/>
        <w:right w:w="0" w:type="dxa"/>
        <w:bottom w:w="0" w:type="dxa"/>
      </w:tblCellMar>
    </w:tblPr>
  </w:style>
  <w:style w:type="table" w:styleId="828" w:customStyle="1">
    <w:name w:val="List Table 1 Light - Accent 1"/>
    <w:uiPriority w:val="99"/>
    <w:qFormat/>
    <w:tblPr>
      <w:tblCellMar>
        <w:left w:w="0" w:type="dxa"/>
        <w:top w:w="0" w:type="dxa"/>
        <w:right w:w="0" w:type="dxa"/>
        <w:bottom w:w="0" w:type="dxa"/>
      </w:tblCellMar>
    </w:tblPr>
  </w:style>
  <w:style w:type="table" w:styleId="829" w:customStyle="1">
    <w:name w:val="List Table 1 Light - Accent 2"/>
    <w:uiPriority w:val="99"/>
    <w:qFormat/>
    <w:tblPr>
      <w:tblCellMar>
        <w:left w:w="0" w:type="dxa"/>
        <w:top w:w="0" w:type="dxa"/>
        <w:right w:w="0" w:type="dxa"/>
        <w:bottom w:w="0" w:type="dxa"/>
      </w:tblCellMar>
    </w:tblPr>
  </w:style>
  <w:style w:type="table" w:styleId="830" w:customStyle="1">
    <w:name w:val="List Table 1 Light - Accent 3"/>
    <w:uiPriority w:val="99"/>
    <w:qFormat/>
    <w:tblPr>
      <w:tblCellMar>
        <w:left w:w="0" w:type="dxa"/>
        <w:top w:w="0" w:type="dxa"/>
        <w:right w:w="0" w:type="dxa"/>
        <w:bottom w:w="0" w:type="dxa"/>
      </w:tblCellMar>
    </w:tblPr>
  </w:style>
  <w:style w:type="table" w:styleId="831" w:customStyle="1">
    <w:name w:val="List Table 1 Light - Accent 4"/>
    <w:uiPriority w:val="99"/>
    <w:qFormat/>
    <w:tblPr>
      <w:tblCellMar>
        <w:left w:w="0" w:type="dxa"/>
        <w:top w:w="0" w:type="dxa"/>
        <w:right w:w="0" w:type="dxa"/>
        <w:bottom w:w="0" w:type="dxa"/>
      </w:tblCellMar>
    </w:tblPr>
  </w:style>
  <w:style w:type="table" w:styleId="832" w:customStyle="1">
    <w:name w:val="List Table 1 Light - Accent 5"/>
    <w:uiPriority w:val="99"/>
    <w:qFormat/>
    <w:tblPr>
      <w:tblCellMar>
        <w:left w:w="0" w:type="dxa"/>
        <w:top w:w="0" w:type="dxa"/>
        <w:right w:w="0" w:type="dxa"/>
        <w:bottom w:w="0" w:type="dxa"/>
      </w:tblCellMar>
    </w:tblPr>
  </w:style>
  <w:style w:type="table" w:styleId="833" w:customStyle="1">
    <w:name w:val="List Table 1 Light - Accent 6"/>
    <w:uiPriority w:val="99"/>
    <w:qFormat/>
    <w:tblPr>
      <w:tblCellMar>
        <w:left w:w="0" w:type="dxa"/>
        <w:top w:w="0" w:type="dxa"/>
        <w:right w:w="0" w:type="dxa"/>
        <w:bottom w:w="0" w:type="dxa"/>
      </w:tblCellMar>
    </w:tblPr>
  </w:style>
  <w:style w:type="table" w:styleId="834"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3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3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3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3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3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4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41"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4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4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4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4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4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4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48"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4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5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5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5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5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5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55"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5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5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5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5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6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6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62"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6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6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6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6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6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6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69"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7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7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7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7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7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7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76" w:customStyle="1">
    <w:name w:val="Lined - Accent"/>
    <w:uiPriority w:val="99"/>
    <w:qFormat/>
    <w:rPr>
      <w:color w:val="404040"/>
    </w:rPr>
    <w:tblPr>
      <w:tblCellMar>
        <w:left w:w="0" w:type="dxa"/>
        <w:top w:w="0" w:type="dxa"/>
        <w:right w:w="0" w:type="dxa"/>
        <w:bottom w:w="0" w:type="dxa"/>
      </w:tblCellMar>
    </w:tblPr>
  </w:style>
  <w:style w:type="table" w:styleId="877" w:customStyle="1">
    <w:name w:val="Lined - Accent 1"/>
    <w:uiPriority w:val="99"/>
    <w:qFormat/>
    <w:rPr>
      <w:color w:val="404040"/>
    </w:rPr>
    <w:tblPr>
      <w:tblCellMar>
        <w:left w:w="0" w:type="dxa"/>
        <w:top w:w="0" w:type="dxa"/>
        <w:right w:w="0" w:type="dxa"/>
        <w:bottom w:w="0" w:type="dxa"/>
      </w:tblCellMar>
    </w:tblPr>
  </w:style>
  <w:style w:type="table" w:styleId="878" w:customStyle="1">
    <w:name w:val="Lined - Accent 2"/>
    <w:uiPriority w:val="99"/>
    <w:qFormat/>
    <w:rPr>
      <w:color w:val="404040"/>
    </w:rPr>
    <w:tblPr>
      <w:tblCellMar>
        <w:left w:w="0" w:type="dxa"/>
        <w:top w:w="0" w:type="dxa"/>
        <w:right w:w="0" w:type="dxa"/>
        <w:bottom w:w="0" w:type="dxa"/>
      </w:tblCellMar>
    </w:tblPr>
  </w:style>
  <w:style w:type="table" w:styleId="879" w:customStyle="1">
    <w:name w:val="Lined - Accent 3"/>
    <w:uiPriority w:val="99"/>
    <w:qFormat/>
    <w:rPr>
      <w:color w:val="404040"/>
    </w:rPr>
    <w:tblPr>
      <w:tblCellMar>
        <w:left w:w="0" w:type="dxa"/>
        <w:top w:w="0" w:type="dxa"/>
        <w:right w:w="0" w:type="dxa"/>
        <w:bottom w:w="0" w:type="dxa"/>
      </w:tblCellMar>
    </w:tblPr>
  </w:style>
  <w:style w:type="table" w:styleId="880" w:customStyle="1">
    <w:name w:val="Lined - Accent 4"/>
    <w:uiPriority w:val="99"/>
    <w:qFormat/>
    <w:rPr>
      <w:color w:val="404040"/>
    </w:rPr>
    <w:tblPr>
      <w:tblCellMar>
        <w:left w:w="0" w:type="dxa"/>
        <w:top w:w="0" w:type="dxa"/>
        <w:right w:w="0" w:type="dxa"/>
        <w:bottom w:w="0" w:type="dxa"/>
      </w:tblCellMar>
    </w:tblPr>
  </w:style>
  <w:style w:type="table" w:styleId="881" w:customStyle="1">
    <w:name w:val="Lined - Accent 5"/>
    <w:uiPriority w:val="99"/>
    <w:qFormat/>
    <w:rPr>
      <w:color w:val="404040"/>
    </w:rPr>
    <w:tblPr>
      <w:tblCellMar>
        <w:left w:w="0" w:type="dxa"/>
        <w:top w:w="0" w:type="dxa"/>
        <w:right w:w="0" w:type="dxa"/>
        <w:bottom w:w="0" w:type="dxa"/>
      </w:tblCellMar>
    </w:tblPr>
  </w:style>
  <w:style w:type="table" w:styleId="882" w:customStyle="1">
    <w:name w:val="Lined - Accent 6"/>
    <w:uiPriority w:val="99"/>
    <w:qFormat/>
    <w:rPr>
      <w:color w:val="404040"/>
    </w:rPr>
    <w:tblPr>
      <w:tblCellMar>
        <w:left w:w="0" w:type="dxa"/>
        <w:top w:w="0" w:type="dxa"/>
        <w:right w:w="0" w:type="dxa"/>
        <w:bottom w:w="0" w:type="dxa"/>
      </w:tblCellMar>
    </w:tblPr>
  </w:style>
  <w:style w:type="table" w:styleId="88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8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8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8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8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8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8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9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9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97" w:customStyle="1">
    <w:name w:val="脚注文本 Char"/>
    <w:link w:val="740"/>
    <w:uiPriority w:val="99"/>
    <w:qFormat/>
    <w:rPr>
      <w:sz w:val="18"/>
    </w:rPr>
  </w:style>
  <w:style w:type="character" w:styleId="898" w:customStyle="1">
    <w:name w:val="尾注文本 Char"/>
    <w:link w:val="733"/>
    <w:uiPriority w:val="99"/>
    <w:qFormat/>
    <w:rPr>
      <w:sz w:val="20"/>
    </w:rPr>
  </w:style>
  <w:style w:type="paragraph" w:styleId="899" w:customStyle="1">
    <w:name w:val="TOC 标题1"/>
    <w:uiPriority w:val="39"/>
    <w:unhideWhenUsed/>
    <w:qFormat/>
    <w:rPr>
      <w:rFonts w:ascii="Times New Roman" w:hAnsi="Times New Roman" w:eastAsia="宋体" w:cs="Times New Roman"/>
      <w:lang w:val="en-US" w:eastAsia="zh-CN" w:bidi="ar-SA"/>
    </w:rPr>
  </w:style>
  <w:style w:type="paragraph" w:styleId="900" w:customStyle="1">
    <w:name w:val="标题 11"/>
    <w:basedOn w:val="709"/>
    <w:next w:val="709"/>
    <w:link w:val="937"/>
    <w:uiPriority w:val="0"/>
    <w:qFormat/>
    <w:pPr>
      <w:keepLines/>
      <w:keepNext/>
      <w:spacing w:before="340" w:after="330" w:line="578" w:lineRule="auto"/>
      <w:outlineLvl w:val="0"/>
    </w:pPr>
    <w:rPr>
      <w:b/>
      <w:bCs/>
      <w:sz w:val="44"/>
      <w:szCs w:val="44"/>
      <w:lang w:eastAsia="en-US"/>
    </w:rPr>
  </w:style>
  <w:style w:type="paragraph" w:styleId="901" w:customStyle="1">
    <w:name w:val="标题 21"/>
    <w:basedOn w:val="709"/>
    <w:next w:val="709"/>
    <w:link w:val="938"/>
    <w:uiPriority w:val="0"/>
    <w:qFormat/>
    <w:pPr>
      <w:keepLines/>
      <w:keepNext/>
      <w:spacing w:before="260" w:after="260" w:line="416" w:lineRule="auto"/>
      <w:outlineLvl w:val="1"/>
    </w:pPr>
    <w:rPr>
      <w:rFonts w:ascii="Cambria" w:hAnsi="Cambria"/>
      <w:b/>
      <w:bCs/>
      <w:sz w:val="32"/>
      <w:szCs w:val="32"/>
      <w:lang w:eastAsia="en-US"/>
    </w:rPr>
  </w:style>
  <w:style w:type="paragraph" w:styleId="902" w:customStyle="1">
    <w:name w:val="标题 31"/>
    <w:basedOn w:val="709"/>
    <w:next w:val="903"/>
    <w:link w:val="939"/>
    <w:uiPriority w:val="0"/>
    <w:qFormat/>
    <w:pPr>
      <w:keepLines/>
      <w:keepNext/>
      <w:spacing w:before="260" w:after="260" w:line="416" w:lineRule="auto"/>
      <w:outlineLvl w:val="2"/>
    </w:pPr>
    <w:rPr>
      <w:b/>
      <w:bCs/>
      <w:sz w:val="32"/>
      <w:szCs w:val="32"/>
      <w:lang w:eastAsia="en-US"/>
    </w:rPr>
  </w:style>
  <w:style w:type="paragraph" w:styleId="903" w:customStyle="1">
    <w:name w:val="正文缩进1"/>
    <w:basedOn w:val="709"/>
    <w:next w:val="709"/>
    <w:link w:val="942"/>
    <w:uiPriority w:val="0"/>
    <w:qFormat/>
    <w:pPr>
      <w:ind w:firstLine="420"/>
      <w:jc w:val="left"/>
      <w:widowControl/>
    </w:pPr>
    <w:rPr>
      <w:rFonts w:eastAsia="楷体_GB2312"/>
      <w:sz w:val="24"/>
      <w:szCs w:val="20"/>
    </w:rPr>
  </w:style>
  <w:style w:type="paragraph" w:styleId="904" w:customStyle="1">
    <w:name w:val="标题 41"/>
    <w:basedOn w:val="709"/>
    <w:next w:val="709"/>
    <w:link w:val="948"/>
    <w:uiPriority w:val="0"/>
    <w:qFormat/>
    <w:pPr>
      <w:keepNext/>
      <w:spacing w:before="240" w:after="60"/>
      <w:outlineLvl w:val="3"/>
    </w:pPr>
    <w:rPr>
      <w:b/>
      <w:bCs/>
      <w:sz w:val="28"/>
      <w:szCs w:val="28"/>
    </w:rPr>
  </w:style>
  <w:style w:type="paragraph" w:styleId="905" w:customStyle="1">
    <w:name w:val="标题 51"/>
    <w:basedOn w:val="709"/>
    <w:next w:val="709"/>
    <w:link w:val="943"/>
    <w:uiPriority w:val="0"/>
    <w:qFormat/>
    <w:pPr>
      <w:spacing w:before="240" w:after="60"/>
      <w:outlineLvl w:val="4"/>
    </w:pPr>
    <w:rPr>
      <w:b/>
      <w:bCs/>
      <w:i/>
      <w:iCs/>
      <w:sz w:val="26"/>
      <w:szCs w:val="26"/>
    </w:rPr>
  </w:style>
  <w:style w:type="character" w:styleId="906" w:customStyle="1">
    <w:name w:val="默认段落字体1"/>
    <w:uiPriority w:val="1"/>
    <w:semiHidden/>
    <w:unhideWhenUsed/>
    <w:qFormat/>
  </w:style>
  <w:style w:type="table" w:styleId="907" w:customStyle="1">
    <w:name w:val="普通表格1"/>
    <w:uiPriority w:val="99"/>
    <w:semiHidden/>
    <w:unhideWhenUsed/>
    <w:qFormat/>
    <w:tblPr>
      <w:tblCellMar>
        <w:left w:w="0" w:type="dxa"/>
        <w:top w:w="0" w:type="dxa"/>
        <w:right w:w="0" w:type="dxa"/>
        <w:bottom w:w="0" w:type="dxa"/>
      </w:tblCellMar>
    </w:tblPr>
  </w:style>
  <w:style w:type="paragraph" w:styleId="908" w:customStyle="1">
    <w:name w:val="正文首行缩进 21"/>
    <w:basedOn w:val="909"/>
    <w:uiPriority w:val="0"/>
    <w:qFormat/>
    <w:pPr>
      <w:ind w:left="0"/>
      <w:spacing w:after="0" w:line="360" w:lineRule="auto"/>
    </w:pPr>
    <w:rPr>
      <w:rFonts w:ascii="宋体" w:hAnsi="宋体" w:cs="宋体"/>
      <w:color w:val="ff0000"/>
      <w:szCs w:val="21"/>
    </w:rPr>
  </w:style>
  <w:style w:type="paragraph" w:styleId="909" w:customStyle="1">
    <w:name w:val="正文文本缩进1"/>
    <w:basedOn w:val="709"/>
    <w:link w:val="985"/>
    <w:uiPriority w:val="0"/>
    <w:qFormat/>
    <w:pPr>
      <w:ind w:left="200"/>
      <w:spacing w:after="120"/>
    </w:pPr>
  </w:style>
  <w:style w:type="paragraph" w:styleId="910" w:customStyle="1">
    <w:name w:val="文档结构图1"/>
    <w:basedOn w:val="709"/>
    <w:uiPriority w:val="0"/>
    <w:semiHidden/>
    <w:qFormat/>
    <w:pPr>
      <w:shd w:val="clear" w:color="auto" w:fill="000080"/>
    </w:pPr>
  </w:style>
  <w:style w:type="paragraph" w:styleId="911" w:customStyle="1">
    <w:name w:val="批注文字1"/>
    <w:basedOn w:val="709"/>
    <w:link w:val="956"/>
    <w:uiPriority w:val="0"/>
    <w:qFormat/>
    <w:pPr>
      <w:jc w:val="left"/>
    </w:pPr>
  </w:style>
  <w:style w:type="paragraph" w:styleId="912" w:customStyle="1">
    <w:name w:val="正文文本1"/>
    <w:basedOn w:val="709"/>
    <w:uiPriority w:val="0"/>
    <w:qFormat/>
    <w:pPr>
      <w:spacing w:line="360" w:lineRule="auto"/>
    </w:pPr>
    <w:rPr>
      <w:rFonts w:ascii="宋体" w:hAnsi="宋体" w:cs="宋体"/>
      <w:bCs/>
      <w:color w:val="000000"/>
      <w:szCs w:val="21"/>
    </w:rPr>
  </w:style>
  <w:style w:type="paragraph" w:styleId="913" w:customStyle="1">
    <w:name w:val="文本块1"/>
    <w:basedOn w:val="709"/>
    <w:uiPriority w:val="0"/>
    <w:qFormat/>
    <w:pPr>
      <w:ind w:left="630" w:right="-609" w:firstLine="420"/>
      <w:spacing w:line="360" w:lineRule="auto"/>
    </w:pPr>
    <w:rPr>
      <w:rFonts w:hint="eastAsia" w:ascii="仿宋_GB2312" w:eastAsia="仿宋_GB2312"/>
      <w:szCs w:val="20"/>
    </w:rPr>
  </w:style>
  <w:style w:type="paragraph" w:styleId="914" w:customStyle="1">
    <w:name w:val="纯文本111"/>
    <w:basedOn w:val="709"/>
    <w:link w:val="941"/>
    <w:uiPriority w:val="0"/>
    <w:qFormat/>
    <w:pPr>
      <w:jc w:val="left"/>
      <w:widowControl/>
    </w:pPr>
    <w:rPr>
      <w:rFonts w:ascii="宋体" w:hAnsi="Courier New" w:eastAsia="楷体_GB2312"/>
      <w:sz w:val="26"/>
    </w:rPr>
  </w:style>
  <w:style w:type="paragraph" w:styleId="915" w:customStyle="1">
    <w:name w:val="日期1"/>
    <w:basedOn w:val="709"/>
    <w:next w:val="709"/>
    <w:link w:val="957"/>
    <w:uiPriority w:val="0"/>
    <w:qFormat/>
    <w:pPr>
      <w:ind w:left="2500"/>
    </w:pPr>
    <w:rPr>
      <w:sz w:val="36"/>
      <w:szCs w:val="20"/>
      <w:lang w:eastAsia="en-US"/>
    </w:rPr>
  </w:style>
  <w:style w:type="paragraph" w:styleId="916" w:customStyle="1">
    <w:name w:val="正文文本缩进 21"/>
    <w:basedOn w:val="709"/>
    <w:uiPriority w:val="0"/>
    <w:qFormat/>
    <w:pPr>
      <w:ind w:left="200"/>
      <w:spacing w:after="120" w:line="480" w:lineRule="auto"/>
    </w:pPr>
  </w:style>
  <w:style w:type="paragraph" w:styleId="917" w:customStyle="1">
    <w:name w:val="批注框文本1"/>
    <w:basedOn w:val="709"/>
    <w:uiPriority w:val="0"/>
    <w:semiHidden/>
    <w:qFormat/>
    <w:rPr>
      <w:sz w:val="18"/>
      <w:szCs w:val="18"/>
    </w:rPr>
  </w:style>
  <w:style w:type="paragraph" w:styleId="918" w:customStyle="1">
    <w:name w:val="页脚1"/>
    <w:basedOn w:val="709"/>
    <w:link w:val="946"/>
    <w:uiPriority w:val="0"/>
    <w:qFormat/>
    <w:pPr>
      <w:jc w:val="left"/>
      <w:tabs>
        <w:tab w:val="center" w:pos="4153" w:leader="none"/>
        <w:tab w:val="right" w:pos="8306" w:leader="none"/>
      </w:tabs>
    </w:pPr>
    <w:rPr>
      <w:sz w:val="18"/>
      <w:szCs w:val="18"/>
    </w:rPr>
  </w:style>
  <w:style w:type="paragraph" w:styleId="919" w:customStyle="1">
    <w:name w:val="寄信人地址1"/>
    <w:basedOn w:val="709"/>
    <w:uiPriority w:val="0"/>
    <w:qFormat/>
    <w:rPr>
      <w:rFonts w:ascii="Arial" w:hAnsi="Arial" w:eastAsia="楷体_GB2312"/>
      <w:sz w:val="26"/>
      <w:szCs w:val="20"/>
    </w:rPr>
  </w:style>
  <w:style w:type="paragraph" w:styleId="920" w:customStyle="1">
    <w:name w:val="页眉1"/>
    <w:basedOn w:val="709"/>
    <w:link w:val="952"/>
    <w:uiPriority w:val="99"/>
    <w:qFormat/>
    <w:pPr>
      <w:jc w:val="center"/>
      <w:tabs>
        <w:tab w:val="center" w:pos="4153" w:leader="none"/>
        <w:tab w:val="right" w:pos="8306" w:leader="none"/>
      </w:tabs>
      <w:pBdr>
        <w:bottom w:val="single" w:color="000000" w:sz="6" w:space="1"/>
      </w:pBdr>
    </w:pPr>
    <w:rPr>
      <w:sz w:val="18"/>
      <w:szCs w:val="18"/>
    </w:rPr>
  </w:style>
  <w:style w:type="paragraph" w:styleId="921" w:customStyle="1">
    <w:name w:val="目录 11"/>
    <w:basedOn w:val="709"/>
    <w:next w:val="709"/>
    <w:uiPriority w:val="0"/>
    <w:semiHidden/>
    <w:qFormat/>
    <w:pPr>
      <w:jc w:val="left"/>
    </w:pPr>
    <w:rPr>
      <w:rFonts w:eastAsia="楷体_GB2312"/>
      <w:sz w:val="24"/>
      <w:szCs w:val="20"/>
    </w:rPr>
  </w:style>
  <w:style w:type="paragraph" w:styleId="922" w:customStyle="1">
    <w:name w:val="副标题1"/>
    <w:basedOn w:val="709"/>
    <w:next w:val="709"/>
    <w:uiPriority w:val="0"/>
    <w:qFormat/>
    <w:pPr>
      <w:jc w:val="center"/>
      <w:spacing w:before="240" w:after="60" w:line="312" w:lineRule="auto"/>
      <w:outlineLvl w:val="1"/>
    </w:pPr>
    <w:rPr>
      <w:rFonts w:ascii="宋体" w:hAnsi="Courier New" w:eastAsia="楷体_GB2312"/>
      <w:sz w:val="26"/>
      <w:szCs w:val="20"/>
    </w:rPr>
  </w:style>
  <w:style w:type="paragraph" w:styleId="923" w:customStyle="1">
    <w:name w:val="脚注文本1"/>
    <w:basedOn w:val="900"/>
    <w:next w:val="913"/>
    <w:uiPriority w:val="0"/>
    <w:qFormat/>
    <w:pPr>
      <w:ind w:firstLine="3584"/>
      <w:spacing w:before="0" w:after="0" w:line="360" w:lineRule="auto"/>
    </w:pPr>
  </w:style>
  <w:style w:type="paragraph" w:styleId="924" w:customStyle="1">
    <w:name w:val="正文文本缩进 31"/>
    <w:basedOn w:val="709"/>
    <w:uiPriority w:val="0"/>
    <w:qFormat/>
    <w:pPr>
      <w:ind w:firstLine="200"/>
      <w:jc w:val="left"/>
      <w:spacing w:line="440" w:lineRule="atLeast"/>
    </w:pPr>
    <w:rPr>
      <w:sz w:val="24"/>
    </w:rPr>
  </w:style>
  <w:style w:type="paragraph" w:styleId="925" w:customStyle="1">
    <w:name w:val="普通(网站)1"/>
    <w:basedOn w:val="709"/>
    <w:uiPriority w:val="0"/>
    <w:qFormat/>
    <w:pPr>
      <w:jc w:val="left"/>
      <w:spacing w:before="100" w:beforeAutospacing="1" w:after="100" w:afterAutospacing="1"/>
      <w:widowControl/>
    </w:pPr>
    <w:rPr>
      <w:rFonts w:ascii="宋体" w:hAnsi="宋体" w:cs="宋体"/>
      <w:sz w:val="24"/>
    </w:rPr>
  </w:style>
  <w:style w:type="paragraph" w:styleId="926" w:customStyle="1">
    <w:name w:val="标题1"/>
    <w:basedOn w:val="709"/>
    <w:link w:val="949"/>
    <w:uiPriority w:val="0"/>
    <w:qFormat/>
    <w:pPr>
      <w:numPr>
        <w:ilvl w:val="0"/>
        <w:numId w:val="1"/>
      </w:numPr>
      <w:jc w:val="center"/>
      <w:spacing w:before="240" w:after="60"/>
      <w:tabs>
        <w:tab w:val="left" w:pos="432" w:leader="none"/>
      </w:tabs>
      <w:outlineLvl w:val="0"/>
    </w:pPr>
    <w:rPr>
      <w:rFonts w:ascii="Arial" w:hAnsi="Arial"/>
      <w:b/>
      <w:bCs/>
      <w:sz w:val="32"/>
      <w:szCs w:val="32"/>
      <w:lang w:eastAsia="en-US"/>
    </w:rPr>
  </w:style>
  <w:style w:type="paragraph" w:styleId="927" w:customStyle="1">
    <w:name w:val="批注主题1"/>
    <w:basedOn w:val="911"/>
    <w:next w:val="911"/>
    <w:uiPriority w:val="0"/>
    <w:semiHidden/>
    <w:qFormat/>
    <w:rPr>
      <w:b/>
      <w:bCs/>
    </w:rPr>
  </w:style>
  <w:style w:type="table" w:styleId="928" w:customStyle="1">
    <w:name w:val="网格型1"/>
    <w:basedOn w:val="907"/>
    <w:uiPriority w:val="0"/>
    <w:qFormat/>
    <w:tblPr>
      <w:tblCellMar>
        <w:left w:w="0" w:type="dxa"/>
        <w:top w:w="0" w:type="dxa"/>
        <w:right w:w="0" w:type="dxa"/>
        <w:bottom w:w="0" w:type="dxa"/>
      </w:tblCellMar>
    </w:tblPr>
  </w:style>
  <w:style w:type="character" w:styleId="929" w:customStyle="1">
    <w:name w:val="要点1"/>
    <w:uiPriority w:val="0"/>
    <w:qFormat/>
    <w:rPr>
      <w:b/>
      <w:bCs/>
    </w:rPr>
  </w:style>
  <w:style w:type="character" w:styleId="930" w:customStyle="1">
    <w:name w:val="页码1"/>
    <w:basedOn w:val="906"/>
    <w:uiPriority w:val="0"/>
    <w:qFormat/>
  </w:style>
  <w:style w:type="character" w:styleId="931" w:customStyle="1">
    <w:name w:val="已访问的超链接1"/>
    <w:uiPriority w:val="0"/>
    <w:semiHidden/>
    <w:unhideWhenUsed/>
    <w:qFormat/>
    <w:rPr>
      <w:color w:val="333333"/>
      <w:u w:val="none"/>
    </w:rPr>
  </w:style>
  <w:style w:type="character" w:styleId="932" w:customStyle="1">
    <w:name w:val="强调1"/>
    <w:uiPriority w:val="0"/>
    <w:qFormat/>
    <w:rPr>
      <w:i/>
      <w:iCs/>
    </w:rPr>
  </w:style>
  <w:style w:type="character" w:styleId="933" w:customStyle="1">
    <w:name w:val="超链接1"/>
    <w:uiPriority w:val="0"/>
    <w:qFormat/>
    <w:rPr>
      <w:color w:val="000000"/>
      <w:u w:val="none"/>
    </w:rPr>
  </w:style>
  <w:style w:type="character" w:styleId="934" w:customStyle="1">
    <w:name w:val="批注引用1"/>
    <w:uiPriority w:val="99"/>
    <w:qFormat/>
    <w:rPr>
      <w:sz w:val="21"/>
      <w:szCs w:val="21"/>
    </w:rPr>
  </w:style>
  <w:style w:type="paragraph" w:styleId="935" w:customStyle="1">
    <w:name w:val="段"/>
    <w:next w:val="709"/>
    <w:uiPriority w:val="0"/>
    <w:qFormat/>
    <w:pPr>
      <w:ind w:firstLine="200"/>
      <w:jc w:val="both"/>
    </w:pPr>
    <w:rPr>
      <w:rFonts w:ascii="宋体" w:hAnsi="Times New Roman" w:eastAsia="宋体" w:cs="Times New Roman"/>
      <w:sz w:val="21"/>
      <w:lang w:val="en-US" w:eastAsia="zh-CN" w:bidi="ar-SA"/>
    </w:rPr>
  </w:style>
  <w:style w:type="paragraph" w:styleId="936" w:customStyle="1">
    <w:name w:val="首行缩进"/>
    <w:basedOn w:val="709"/>
    <w:uiPriority w:val="0"/>
    <w:qFormat/>
    <w:pPr>
      <w:ind w:firstLine="200"/>
      <w:jc w:val="left"/>
      <w:spacing w:line="360" w:lineRule="auto"/>
    </w:pPr>
    <w:rPr>
      <w:rFonts w:ascii="宋体" w:hAnsi="宋体"/>
      <w:sz w:val="24"/>
    </w:rPr>
  </w:style>
  <w:style w:type="character" w:styleId="937" w:customStyle="1">
    <w:name w:val="标题 1 Char"/>
    <w:link w:val="900"/>
    <w:uiPriority w:val="0"/>
    <w:qFormat/>
    <w:rPr>
      <w:b/>
      <w:bCs/>
      <w:sz w:val="44"/>
      <w:szCs w:val="44"/>
    </w:rPr>
  </w:style>
  <w:style w:type="character" w:styleId="938" w:customStyle="1">
    <w:name w:val="标题 2 Char"/>
    <w:link w:val="901"/>
    <w:uiPriority w:val="0"/>
    <w:qFormat/>
    <w:rPr>
      <w:rFonts w:ascii="Cambria" w:hAnsi="Cambria"/>
      <w:b/>
      <w:bCs/>
      <w:sz w:val="32"/>
      <w:szCs w:val="32"/>
    </w:rPr>
  </w:style>
  <w:style w:type="character" w:styleId="939" w:customStyle="1">
    <w:name w:val="标题 3 Char"/>
    <w:link w:val="902"/>
    <w:uiPriority w:val="0"/>
    <w:qFormat/>
    <w:rPr>
      <w:b/>
      <w:bCs/>
      <w:sz w:val="32"/>
      <w:szCs w:val="32"/>
    </w:rPr>
  </w:style>
  <w:style w:type="paragraph" w:styleId="940" w:customStyle="1">
    <w:name w:val="正文 A"/>
    <w:next w:val="935"/>
    <w:uiPriority w:val="0"/>
    <w:qFormat/>
    <w:pPr>
      <w:jc w:val="both"/>
      <w:widowControl w:val="off"/>
      <w:framePr w:wrap="around" w:vAnchor="margin" w:hAnchor="text" w:yAlign="top"/>
    </w:pPr>
    <w:rPr>
      <w:rFonts w:ascii="Calibri" w:hAnsi="Calibri" w:eastAsia="Times New Roman" w:cs="Times New Roman"/>
      <w:color w:val="000000"/>
      <w:sz w:val="21"/>
      <w:szCs w:val="21"/>
      <w:lang w:val="en-US" w:eastAsia="zh-CN" w:bidi="ar-SA"/>
    </w:rPr>
  </w:style>
  <w:style w:type="character" w:styleId="941" w:customStyle="1">
    <w:name w:val="纯文本 Char"/>
    <w:link w:val="914"/>
    <w:uiPriority w:val="0"/>
    <w:qFormat/>
    <w:rPr>
      <w:rFonts w:ascii="宋体" w:hAnsi="Courier New" w:eastAsia="楷体_GB2312"/>
      <w:sz w:val="26"/>
      <w:szCs w:val="24"/>
      <w:lang w:val="en-US" w:eastAsia="zh-CN" w:bidi="ar-SA"/>
    </w:rPr>
  </w:style>
  <w:style w:type="character" w:styleId="942" w:customStyle="1">
    <w:name w:val="正文缩进 Char"/>
    <w:link w:val="903"/>
    <w:uiPriority w:val="0"/>
    <w:qFormat/>
    <w:rPr>
      <w:rFonts w:eastAsia="楷体_GB2312"/>
      <w:sz w:val="24"/>
      <w:lang w:val="en-US" w:eastAsia="zh-CN" w:bidi="ar-SA"/>
    </w:rPr>
  </w:style>
  <w:style w:type="character" w:styleId="943" w:customStyle="1">
    <w:name w:val="标题 5 Char"/>
    <w:link w:val="905"/>
    <w:uiPriority w:val="0"/>
    <w:qFormat/>
    <w:rPr>
      <w:rFonts w:eastAsia="宋体"/>
      <w:b/>
      <w:bCs/>
      <w:i/>
      <w:iCs/>
      <w:sz w:val="26"/>
      <w:szCs w:val="26"/>
      <w:lang w:val="en-US" w:eastAsia="zh-CN" w:bidi="ar-SA"/>
    </w:rPr>
  </w:style>
  <w:style w:type="character" w:styleId="944" w:customStyle="1">
    <w:name w:val="+正文 Char3"/>
    <w:link w:val="945"/>
    <w:uiPriority w:val="0"/>
    <w:qFormat/>
    <w:rPr>
      <w:rFonts w:eastAsia="宋体"/>
      <w:sz w:val="24"/>
      <w:lang w:val="en-US" w:eastAsia="zh-CN" w:bidi="ar-SA"/>
    </w:rPr>
  </w:style>
  <w:style w:type="paragraph" w:styleId="945" w:customStyle="1">
    <w:name w:val="+正文"/>
    <w:basedOn w:val="709"/>
    <w:link w:val="944"/>
    <w:uiPriority w:val="0"/>
    <w:qFormat/>
    <w:pPr>
      <w:ind w:firstLine="200"/>
      <w:spacing w:line="360" w:lineRule="auto"/>
    </w:pPr>
    <w:rPr>
      <w:sz w:val="24"/>
      <w:szCs w:val="20"/>
    </w:rPr>
  </w:style>
  <w:style w:type="character" w:styleId="946" w:customStyle="1">
    <w:name w:val="页脚 Char"/>
    <w:link w:val="918"/>
    <w:uiPriority w:val="0"/>
    <w:semiHidden/>
    <w:qFormat/>
    <w:rPr>
      <w:rFonts w:eastAsia="宋体"/>
      <w:sz w:val="18"/>
      <w:szCs w:val="18"/>
      <w:lang w:val="en-US" w:eastAsia="zh-CN" w:bidi="ar-SA"/>
    </w:rPr>
  </w:style>
  <w:style w:type="character" w:styleId="947" w:customStyle="1">
    <w:name w:val="Char Char8"/>
    <w:uiPriority w:val="0"/>
    <w:qFormat/>
    <w:rPr>
      <w:sz w:val="18"/>
    </w:rPr>
  </w:style>
  <w:style w:type="character" w:styleId="948" w:customStyle="1">
    <w:name w:val="标题 4 Char"/>
    <w:link w:val="904"/>
    <w:uiPriority w:val="0"/>
    <w:qFormat/>
    <w:rPr>
      <w:rFonts w:eastAsia="宋体"/>
      <w:b/>
      <w:bCs/>
      <w:sz w:val="28"/>
      <w:szCs w:val="28"/>
      <w:lang w:val="en-US" w:eastAsia="zh-CN" w:bidi="ar-SA"/>
    </w:rPr>
  </w:style>
  <w:style w:type="character" w:styleId="949" w:customStyle="1">
    <w:name w:val="标题 Char"/>
    <w:link w:val="926"/>
    <w:uiPriority w:val="0"/>
    <w:qFormat/>
    <w:rPr>
      <w:rFonts w:ascii="Arial" w:hAnsi="Arial"/>
      <w:b/>
      <w:bCs/>
      <w:sz w:val="32"/>
      <w:szCs w:val="32"/>
      <w:lang w:bidi="ar-SA"/>
    </w:rPr>
  </w:style>
  <w:style w:type="character" w:styleId="950" w:customStyle="1">
    <w:name w:val="文字正文主体 Char Char"/>
    <w:link w:val="951"/>
    <w:uiPriority w:val="0"/>
    <w:qFormat/>
    <w:rPr>
      <w:rFonts w:ascii="仿宋" w:hAnsi="仿宋" w:eastAsia="仿宋"/>
      <w:color w:val="3a3a3a"/>
      <w:sz w:val="28"/>
      <w:lang w:val="en-US" w:eastAsia="zh-CN" w:bidi="ar-SA"/>
    </w:rPr>
  </w:style>
  <w:style w:type="paragraph" w:styleId="951" w:customStyle="1">
    <w:name w:val="文字正文主体"/>
    <w:basedOn w:val="709"/>
    <w:link w:val="950"/>
    <w:uiPriority w:val="0"/>
    <w:qFormat/>
    <w:pPr>
      <w:ind w:firstLine="200"/>
      <w:spacing w:line="360" w:lineRule="auto"/>
      <w:tabs>
        <w:tab w:val="center" w:pos="2268" w:leader="none"/>
        <w:tab w:val="right" w:pos="7938" w:leader="none"/>
      </w:tabs>
    </w:pPr>
    <w:rPr>
      <w:rFonts w:ascii="仿宋" w:hAnsi="仿宋" w:eastAsia="仿宋"/>
      <w:color w:val="3a3a3a"/>
      <w:sz w:val="28"/>
      <w:szCs w:val="20"/>
    </w:rPr>
  </w:style>
  <w:style w:type="character" w:styleId="952" w:customStyle="1">
    <w:name w:val="页眉 Char"/>
    <w:link w:val="920"/>
    <w:uiPriority w:val="99"/>
    <w:qFormat/>
    <w:rPr>
      <w:rFonts w:eastAsia="宋体"/>
      <w:sz w:val="18"/>
      <w:szCs w:val="18"/>
      <w:lang w:val="en-US" w:eastAsia="zh-CN" w:bidi="ar-SA"/>
    </w:rPr>
  </w:style>
  <w:style w:type="character" w:styleId="953" w:customStyle="1">
    <w:name w:val="Char Char5"/>
    <w:uiPriority w:val="0"/>
    <w:qFormat/>
    <w:rPr>
      <w:sz w:val="24"/>
      <w:lang w:val="en-US" w:eastAsia="zh-CN"/>
    </w:rPr>
  </w:style>
  <w:style w:type="character" w:styleId="954" w:customStyle="1">
    <w:name w:val="Char Char11"/>
    <w:uiPriority w:val="0"/>
    <w:qFormat/>
    <w:rPr>
      <w:sz w:val="21"/>
    </w:rPr>
  </w:style>
  <w:style w:type="character" w:styleId="955" w:customStyle="1">
    <w:name w:val="c lh15"/>
    <w:basedOn w:val="906"/>
    <w:uiPriority w:val="0"/>
    <w:qFormat/>
  </w:style>
  <w:style w:type="character" w:styleId="956" w:customStyle="1">
    <w:name w:val="批注文字 Char"/>
    <w:link w:val="911"/>
    <w:uiPriority w:val="0"/>
    <w:qFormat/>
    <w:rPr>
      <w:rFonts w:eastAsia="宋体"/>
      <w:sz w:val="21"/>
      <w:szCs w:val="24"/>
      <w:lang w:val="en-US" w:eastAsia="zh-CN" w:bidi="ar-SA"/>
    </w:rPr>
  </w:style>
  <w:style w:type="character" w:styleId="957" w:customStyle="1">
    <w:name w:val="日期 Char"/>
    <w:link w:val="915"/>
    <w:uiPriority w:val="0"/>
    <w:qFormat/>
    <w:rPr>
      <w:sz w:val="36"/>
      <w:lang w:bidi="ar-SA"/>
    </w:rPr>
  </w:style>
  <w:style w:type="character" w:styleId="958" w:customStyle="1">
    <w:name w:val="Plain Text Char Char"/>
    <w:link w:val="959"/>
    <w:uiPriority w:val="0"/>
    <w:qFormat/>
    <w:rPr>
      <w:rFonts w:ascii="宋体" w:hAnsi="Courier New" w:eastAsia="楷体_GB2312"/>
      <w:sz w:val="28"/>
    </w:rPr>
  </w:style>
  <w:style w:type="paragraph" w:styleId="959" w:customStyle="1">
    <w:name w:val="纯文本1"/>
    <w:basedOn w:val="709"/>
    <w:link w:val="958"/>
    <w:uiPriority w:val="0"/>
    <w:qFormat/>
    <w:rPr>
      <w:rFonts w:ascii="宋体" w:hAnsi="Courier New" w:eastAsia="楷体_GB2312"/>
      <w:sz w:val="28"/>
      <w:szCs w:val="20"/>
      <w:lang w:eastAsia="en-US"/>
    </w:rPr>
  </w:style>
  <w:style w:type="paragraph" w:styleId="960" w:customStyle="1">
    <w:name w:val="Char Char Char Char Char Char Char Char Char1 Char Char Char Char"/>
    <w:basedOn w:val="910"/>
    <w:uiPriority w:val="0"/>
    <w:qFormat/>
    <w:pPr>
      <w:spacing w:line="360" w:lineRule="auto"/>
    </w:pPr>
    <w:rPr>
      <w:rFonts w:eastAsia="楷体_GB2312"/>
      <w:sz w:val="26"/>
      <w:szCs w:val="20"/>
    </w:rPr>
  </w:style>
  <w:style w:type="paragraph" w:styleId="961" w:customStyle="1">
    <w:name w:val="Char Char Char Char Char Char Char Char Char Char"/>
    <w:basedOn w:val="709"/>
    <w:uiPriority w:val="0"/>
    <w:qFormat/>
    <w:pPr>
      <w:numPr>
        <w:ilvl w:val="0"/>
        <w:numId w:val="2"/>
      </w:numPr>
    </w:pPr>
    <w:rPr>
      <w:sz w:val="24"/>
    </w:rPr>
  </w:style>
  <w:style w:type="paragraph" w:styleId="962" w:customStyle="1">
    <w:name w:val="Char Char Char Char Char Char Char Char Char1 Char"/>
    <w:basedOn w:val="910"/>
    <w:uiPriority w:val="0"/>
    <w:qFormat/>
    <w:pPr>
      <w:spacing w:line="360" w:lineRule="auto"/>
    </w:pPr>
    <w:rPr>
      <w:rFonts w:ascii="Tahoma" w:hAnsi="Tahoma"/>
      <w:sz w:val="24"/>
    </w:rPr>
  </w:style>
  <w:style w:type="paragraph" w:styleId="963" w:customStyle="1">
    <w:name w:val="Char Char Char"/>
    <w:basedOn w:val="910"/>
    <w:uiPriority w:val="0"/>
    <w:qFormat/>
    <w:pPr>
      <w:spacing w:line="360" w:lineRule="auto"/>
    </w:pPr>
    <w:rPr>
      <w:rFonts w:ascii="Tahoma" w:hAnsi="Tahoma"/>
      <w:sz w:val="24"/>
    </w:rPr>
  </w:style>
  <w:style w:type="paragraph" w:styleId="964" w:customStyle="1">
    <w:name w:val="Char Char Char Char"/>
    <w:basedOn w:val="910"/>
    <w:uiPriority w:val="0"/>
    <w:qFormat/>
    <w:pPr>
      <w:spacing w:line="360" w:lineRule="auto"/>
    </w:pPr>
    <w:rPr>
      <w:sz w:val="24"/>
      <w:szCs w:val="20"/>
    </w:rPr>
  </w:style>
  <w:style w:type="paragraph" w:styleId="965" w:customStyle="1">
    <w:name w:val="Char1 Char Char Char"/>
    <w:basedOn w:val="709"/>
    <w:uiPriority w:val="0"/>
    <w:qFormat/>
    <w:rPr>
      <w:rFonts w:ascii="Tahoma" w:hAnsi="Tahoma"/>
      <w:sz w:val="24"/>
      <w:szCs w:val="20"/>
    </w:rPr>
  </w:style>
  <w:style w:type="paragraph" w:styleId="966" w:customStyle="1">
    <w:name w:val="Char"/>
    <w:basedOn w:val="709"/>
    <w:uiPriority w:val="0"/>
    <w:qFormat/>
    <w:pPr>
      <w:ind w:left="420" w:hanging="420"/>
      <w:tabs>
        <w:tab w:val="left" w:pos="420" w:leader="none"/>
      </w:tabs>
    </w:pPr>
    <w:rPr>
      <w:sz w:val="24"/>
    </w:rPr>
  </w:style>
  <w:style w:type="paragraph" w:styleId="967" w:customStyle="1">
    <w:name w:val="正文2"/>
    <w:basedOn w:val="709"/>
    <w:uiPriority w:val="0"/>
    <w:qFormat/>
    <w:pPr>
      <w:ind w:firstLine="200"/>
      <w:jc w:val="left"/>
      <w:spacing w:after="160" w:line="360" w:lineRule="auto"/>
      <w:widowControl/>
    </w:pPr>
    <w:rPr>
      <w:rFonts w:ascii="Verdana" w:hAnsi="Verdana" w:eastAsia="黑体"/>
      <w:szCs w:val="20"/>
      <w:lang w:eastAsia="en-US"/>
    </w:rPr>
  </w:style>
  <w:style w:type="paragraph" w:styleId="968" w:customStyle="1">
    <w:name w:val="Char Char Char1 Char Char Char Char"/>
    <w:basedOn w:val="709"/>
    <w:uiPriority w:val="0"/>
    <w:qFormat/>
    <w:pPr>
      <w:jc w:val="left"/>
      <w:spacing w:after="160" w:line="240" w:lineRule="exact"/>
      <w:widowControl/>
    </w:pPr>
    <w:rPr>
      <w:sz w:val="24"/>
    </w:rPr>
  </w:style>
  <w:style w:type="paragraph" w:styleId="969" w:customStyle="1">
    <w:name w:val="无间隔1"/>
    <w:uiPriority w:val="1"/>
    <w:qFormat/>
    <w:pPr>
      <w:jc w:val="both"/>
      <w:widowControl w:val="off"/>
    </w:pPr>
    <w:rPr>
      <w:rFonts w:ascii="Times New Roman" w:hAnsi="Times New Roman" w:eastAsia="宋体" w:cs="Times New Roman"/>
      <w:sz w:val="21"/>
      <w:szCs w:val="24"/>
      <w:lang w:val="en-US" w:eastAsia="zh-CN" w:bidi="ar-SA"/>
    </w:rPr>
  </w:style>
  <w:style w:type="paragraph" w:styleId="970" w:customStyle="1">
    <w:name w:val="纯文本11"/>
    <w:basedOn w:val="709"/>
    <w:uiPriority w:val="0"/>
    <w:qFormat/>
    <w:rPr>
      <w:rFonts w:ascii="宋体" w:hAnsi="Courier New" w:eastAsia="楷体_GB2312"/>
      <w:sz w:val="28"/>
      <w:szCs w:val="20"/>
    </w:rPr>
  </w:style>
  <w:style w:type="character" w:styleId="971" w:customStyle="1">
    <w:name w:val="纯文本 Char1"/>
    <w:uiPriority w:val="0"/>
    <w:qFormat/>
    <w:rPr>
      <w:rFonts w:ascii="宋体" w:hAnsi="Courier New" w:eastAsia="楷体_GB2312"/>
      <w:sz w:val="24"/>
      <w:lang w:val="en-US" w:eastAsia="zh-CN" w:bidi="ar-SA"/>
    </w:rPr>
  </w:style>
  <w:style w:type="paragraph" w:styleId="972" w:customStyle="1">
    <w:name w:val="纯文本2"/>
    <w:basedOn w:val="709"/>
    <w:uiPriority w:val="0"/>
    <w:qFormat/>
    <w:rPr>
      <w:rFonts w:ascii="宋体" w:hAnsi="Courier New" w:eastAsia="楷体_GB2312"/>
      <w:sz w:val="26"/>
      <w:szCs w:val="20"/>
    </w:rPr>
  </w:style>
  <w:style w:type="character" w:styleId="973" w:customStyle="1">
    <w:name w:val="Plain Text Char"/>
    <w:uiPriority w:val="0"/>
    <w:qFormat/>
    <w:rPr>
      <w:rFonts w:ascii="宋体" w:hAnsi="Courier New" w:eastAsia="楷体_GB2312"/>
      <w:sz w:val="26"/>
      <w:lang w:val="en-US" w:eastAsia="zh-CN" w:bidi="ar-SA"/>
    </w:rPr>
  </w:style>
  <w:style w:type="paragraph" w:styleId="974" w:customStyle="1">
    <w:name w:val="修订1"/>
    <w:hidden/>
    <w:uiPriority w:val="99"/>
    <w:semiHidden/>
    <w:unhideWhenUsed/>
    <w:qFormat/>
    <w:rPr>
      <w:rFonts w:ascii="Times New Roman" w:hAnsi="Times New Roman" w:eastAsia="宋体" w:cs="Times New Roman"/>
      <w:sz w:val="21"/>
      <w:szCs w:val="24"/>
      <w:lang w:val="en-US" w:eastAsia="zh-CN" w:bidi="ar-SA"/>
    </w:rPr>
  </w:style>
  <w:style w:type="character" w:styleId="975" w:customStyle="1">
    <w:name w:val="apple-converted-space"/>
    <w:basedOn w:val="906"/>
    <w:uiPriority w:val="0"/>
    <w:qFormat/>
  </w:style>
  <w:style w:type="paragraph" w:styleId="976" w:customStyle="1">
    <w:name w:val="p1"/>
    <w:basedOn w:val="709"/>
    <w:uiPriority w:val="0"/>
    <w:qFormat/>
    <w:pPr>
      <w:jc w:val="left"/>
      <w:spacing w:before="100" w:beforeAutospacing="1" w:after="100" w:afterAutospacing="1"/>
      <w:widowControl/>
    </w:pPr>
    <w:rPr>
      <w:rFonts w:ascii="宋体" w:hAnsi="宋体" w:cs="宋体"/>
      <w:sz w:val="24"/>
    </w:rPr>
  </w:style>
  <w:style w:type="paragraph" w:styleId="977" w:customStyle="1">
    <w:name w:val="p3"/>
    <w:basedOn w:val="709"/>
    <w:uiPriority w:val="0"/>
    <w:qFormat/>
    <w:pPr>
      <w:jc w:val="left"/>
      <w:spacing w:before="100" w:beforeAutospacing="1" w:after="100" w:afterAutospacing="1"/>
      <w:widowControl/>
    </w:pPr>
    <w:rPr>
      <w:rFonts w:ascii="宋体" w:hAnsi="宋体" w:cs="宋体"/>
      <w:sz w:val="24"/>
    </w:rPr>
  </w:style>
  <w:style w:type="character" w:styleId="978" w:customStyle="1">
    <w:name w:val="s6"/>
    <w:basedOn w:val="906"/>
    <w:uiPriority w:val="0"/>
    <w:qFormat/>
  </w:style>
  <w:style w:type="character" w:styleId="979" w:customStyle="1">
    <w:name w:val="s1"/>
    <w:basedOn w:val="906"/>
    <w:uiPriority w:val="0"/>
    <w:qFormat/>
  </w:style>
  <w:style w:type="paragraph" w:styleId="980" w:customStyle="1">
    <w:name w:val="列出段落1"/>
    <w:basedOn w:val="709"/>
    <w:uiPriority w:val="34"/>
    <w:qFormat/>
    <w:pPr>
      <w:ind w:firstLine="200"/>
    </w:pPr>
    <w:rPr>
      <w:lang w:val="zh-CN"/>
    </w:rPr>
  </w:style>
  <w:style w:type="character" w:styleId="981" w:customStyle="1">
    <w:name w:val="批注文字 Char3"/>
    <w:uiPriority w:val="0"/>
    <w:qFormat/>
    <w:rPr>
      <w:rFonts w:eastAsia="宋体"/>
      <w:sz w:val="21"/>
      <w:szCs w:val="24"/>
      <w:lang w:val="en-US" w:eastAsia="zh-CN" w:bidi="ar-SA"/>
    </w:rPr>
  </w:style>
  <w:style w:type="paragraph" w:styleId="982" w:customStyle="1">
    <w:name w:val="列出段落2"/>
    <w:basedOn w:val="709"/>
    <w:uiPriority w:val="99"/>
    <w:qFormat/>
    <w:pPr>
      <w:ind w:firstLine="200"/>
    </w:pPr>
  </w:style>
  <w:style w:type="paragraph" w:styleId="983" w:customStyle="1">
    <w:name w:val="BodyText1"/>
    <w:basedOn w:val="709"/>
    <w:uiPriority w:val="99"/>
    <w:qFormat/>
    <w:pPr>
      <w:spacing w:after="120"/>
    </w:pPr>
  </w:style>
  <w:style w:type="character" w:styleId="984" w:customStyle="1">
    <w:name w:val="NormalCharacter1"/>
    <w:uiPriority w:val="0"/>
    <w:semiHidden/>
    <w:qFormat/>
  </w:style>
  <w:style w:type="character" w:styleId="985" w:customStyle="1">
    <w:name w:val="正文文本缩进 Char"/>
    <w:link w:val="909"/>
    <w:uiPriority w:val="0"/>
    <w:qFormat/>
    <w:rPr>
      <w:rFonts w:ascii="Times New Roman" w:hAnsi="Times New Roman"/>
      <w:sz w:val="21"/>
      <w:szCs w:val="24"/>
    </w:rPr>
  </w:style>
  <w:style w:type="paragraph" w:styleId="986" w:customStyle="1">
    <w:name w:val="纯文本3"/>
    <w:basedOn w:val="709"/>
    <w:uiPriority w:val="0"/>
    <w:qFormat/>
    <w:rPr>
      <w:rFonts w:ascii="宋体" w:hAnsi="Courier New" w:eastAsia="楷体_GB2312"/>
      <w:sz w:val="28"/>
      <w:szCs w:val="20"/>
    </w:rPr>
  </w:style>
  <w:style w:type="paragraph" w:styleId="987" w:customStyle="1">
    <w:name w:val="修订2"/>
    <w:hidden/>
    <w:uiPriority w:val="99"/>
    <w:semiHidden/>
    <w:qFormat/>
    <w:rPr>
      <w:rFonts w:ascii="Times New Roman" w:hAnsi="Times New Roman" w:eastAsia="宋体" w:cs="Times New Roman"/>
      <w:sz w:val="21"/>
      <w:szCs w:val="24"/>
      <w:lang w:val="en-US" w:eastAsia="zh-CN" w:bidi="ar-SA"/>
    </w:rPr>
  </w:style>
  <w:style w:type="paragraph" w:styleId="988" w:customStyle="1">
    <w:name w:val="修订3"/>
    <w:hidden/>
    <w:uiPriority w:val="99"/>
    <w:semiHidden/>
    <w:qFormat/>
    <w:rPr>
      <w:rFonts w:ascii="Times New Roman" w:hAnsi="Times New Roman" w:eastAsia="宋体" w:cs="Times New Roman"/>
      <w:sz w:val="21"/>
      <w:szCs w:val="24"/>
      <w:lang w:val="en-US" w:eastAsia="zh-CN" w:bidi="ar-SA"/>
    </w:rPr>
  </w:style>
  <w:style w:type="paragraph" w:styleId="989" w:customStyle="1">
    <w:name w:val="修订4"/>
    <w:hidden/>
    <w:uiPriority w:val="99"/>
    <w:semiHidden/>
    <w:qFormat/>
    <w:rPr>
      <w:rFonts w:ascii="Times New Roman" w:hAnsi="Times New Roman" w:eastAsia="宋体" w:cs="Times New Roman"/>
      <w:sz w:val="21"/>
      <w:szCs w:val="24"/>
      <w:lang w:val="en-US" w:eastAsia="zh-CN" w:bidi="ar-SA"/>
    </w:rPr>
  </w:style>
  <w:style w:type="paragraph" w:styleId="990" w:customStyle="1">
    <w:name w:val="列出段落21"/>
    <w:basedOn w:val="709"/>
    <w:uiPriority w:val="34"/>
    <w:qFormat/>
    <w:pPr>
      <w:ind w:firstLine="200"/>
    </w:pPr>
  </w:style>
  <w:style w:type="paragraph" w:styleId="991" w:customStyle="1">
    <w:name w:val="_正文段落"/>
    <w:basedOn w:val="709"/>
    <w:uiPriority w:val="0"/>
    <w:qFormat/>
    <w:pPr>
      <w:ind w:firstLine="200"/>
      <w:spacing w:line="360" w:lineRule="auto"/>
    </w:pPr>
    <w:rPr>
      <w:sz w:val="24"/>
    </w:rPr>
  </w:style>
  <w:style w:type="paragraph" w:styleId="992" w:customStyle="1">
    <w:name w:val="_Style 30"/>
    <w:basedOn w:val="709"/>
    <w:next w:val="914"/>
    <w:uiPriority w:val="0"/>
    <w:qFormat/>
    <w:rPr>
      <w:rFonts w:ascii="宋体" w:hAnsi="Courier New"/>
    </w:rPr>
  </w:style>
  <w:style w:type="paragraph" w:styleId="993" w:customStyle="1">
    <w:name w:val="纯文本4"/>
    <w:basedOn w:val="709"/>
    <w:uiPriority w:val="0"/>
    <w:qFormat/>
    <w:rPr>
      <w:rFonts w:ascii="宋体" w:hAnsi="Courier New" w:eastAsia="楷体_GB2312"/>
      <w:sz w:val="28"/>
      <w:szCs w:val="20"/>
    </w:rPr>
  </w:style>
  <w:style w:type="paragraph" w:styleId="994" w:customStyle="1">
    <w:name w:val="方案正文"/>
    <w:basedOn w:val="709"/>
    <w:uiPriority w:val="0"/>
    <w:qFormat/>
    <w:pPr>
      <w:widowControl/>
    </w:pPr>
    <w:rPr>
      <w:rFonts w:ascii="方正仿宋_GBK" w:hAnsi="方正仿宋_GBK" w:eastAsia="方正仿宋_GBK" w:cs="方正仿宋_GBK"/>
      <w:bCs/>
      <w:sz w:val="28"/>
      <w:szCs w:val="28"/>
    </w:rPr>
  </w:style>
  <w:style w:type="paragraph" w:styleId="995"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996" w:customStyle="1">
    <w:name w:val="纯文本13"/>
    <w:basedOn w:val="709"/>
    <w:uiPriority w:val="0"/>
    <w:qFormat/>
    <w:pPr>
      <w:jc w:val="left"/>
      <w:widowControl/>
    </w:pPr>
    <w:rPr>
      <w:rFonts w:ascii="宋体" w:hAnsi="Courier New" w:eastAsia="楷体_GB2312"/>
      <w:sz w:val="26"/>
      <w:lang w:eastAsia="en-US"/>
    </w:rPr>
  </w:style>
  <w:style w:type="character" w:styleId="997" w:customStyle="1">
    <w:name w:val="批注框文本 Char"/>
    <w:basedOn w:val="719"/>
    <w:link w:val="734"/>
    <w:uiPriority w:val="99"/>
    <w:semiHidden/>
    <w:qFormat/>
    <w:rPr>
      <w:sz w:val="18"/>
      <w:szCs w:val="18"/>
    </w:rPr>
  </w:style>
  <w:style w:type="character" w:styleId="998" w:customStyle="1">
    <w:name w:val="font21"/>
    <w:basedOn w:val="719"/>
    <w:uiPriority w:val="0"/>
    <w:qFormat/>
    <w:rPr>
      <w:rFonts w:hint="eastAsia" w:ascii="宋体" w:hAnsi="宋体" w:eastAsia="宋体" w:cs="宋体"/>
      <w:color w:val="000000"/>
      <w:sz w:val="20"/>
      <w:szCs w:val="20"/>
      <w:u w:val="none"/>
    </w:rPr>
  </w:style>
  <w:style w:type="character" w:styleId="999" w:customStyle="1">
    <w:name w:val="font31"/>
    <w:basedOn w:val="719"/>
    <w:uiPriority w:val="0"/>
    <w:qFormat/>
    <w:rPr>
      <w:rFonts w:hint="eastAsia" w:ascii="宋体" w:hAnsi="宋体" w:eastAsia="宋体" w:cs="宋体"/>
      <w:color w:val="000000"/>
      <w:sz w:val="20"/>
      <w:szCs w:val="20"/>
      <w:u w:val="none"/>
    </w:rPr>
  </w:style>
  <w:style w:type="numbering" w:styleId="106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路丽丽</cp:lastModifiedBy>
  <cp:revision>14</cp:revision>
  <dcterms:created xsi:type="dcterms:W3CDTF">2024-09-23T06:41:00Z</dcterms:created>
  <dcterms:modified xsi:type="dcterms:W3CDTF">2026-01-19T06:42:23Z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2C8544B08D494224A145E480A1340223_13</vt:lpwstr>
  </property>
  <property fmtid="{D5CDD505-2E9C-101B-9397-08002B2CF9AE}" pid="4" name="KSOTemplateDocerSaveRecord">
    <vt:lpwstr>eyJoZGlkIjoiZGRlNGE1OWE1NDIxZDAwMTQwZTBiZjRjOWQyYjZkMDIiLCJ1c2VySWQiOiIxMDQzMzQ5ODU4In0=</vt:lpwstr>
  </property>
</Properties>
</file>